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left"/>
        <w:keepLines/>
        <w:keepNext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ind w:firstLine="0"/>
        <w:jc w:val="left"/>
        <w:keepLines/>
        <w:keepNext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ind w:firstLine="0"/>
        <w:jc w:val="left"/>
        <w:keepLines/>
        <w:keepNext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ind w:firstLine="0"/>
        <w:jc w:val="left"/>
        <w:keepLines/>
        <w:keepNext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ind w:firstLine="0"/>
        <w:jc w:val="left"/>
        <w:keepLines/>
        <w:keepNext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ind w:firstLine="0"/>
        <w:jc w:val="left"/>
        <w:keepLines/>
        <w:keepNext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ind w:left="0" w:right="0" w:firstLine="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на выполнение работ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ind w:firstLine="0"/>
        <w:jc w:val="left"/>
        <w:keepLines/>
        <w:keepNext/>
        <w:rPr>
          <w:rFonts w:eastAsia="Calibri"/>
          <w:b w:val="0"/>
          <w:bCs w:val="0"/>
          <w:i/>
          <w:iCs/>
          <w:sz w:val="24"/>
          <w:szCs w:val="24"/>
        </w:rPr>
      </w:pPr>
      <w:r>
        <w:rPr>
          <w:rFonts w:eastAsia="Calibri"/>
          <w:b w:val="0"/>
          <w:bCs w:val="0"/>
          <w:i/>
          <w:iCs/>
          <w:sz w:val="24"/>
          <w:szCs w:val="24"/>
        </w:rPr>
      </w:r>
      <w:r>
        <w:rPr>
          <w:rFonts w:eastAsia="Calibri"/>
          <w:b w:val="0"/>
          <w:bCs w:val="0"/>
          <w:i/>
          <w:iCs/>
          <w:sz w:val="24"/>
          <w:szCs w:val="24"/>
        </w:rPr>
      </w:r>
      <w:r>
        <w:rPr>
          <w:rFonts w:eastAsia="Calibri"/>
          <w:b w:val="0"/>
          <w:bCs w:val="0"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КПД 42.21.21. 000 Выполнение строительно-монтажных работ по объекту: "Строительство перемычки «Авангард» между магистралью ТМ-11 и магистралью «Горьковская»: строительство перемычки от узла 146.40 ул. Производственная до магистрали «Горьковская» (район ПНС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922) Ду= 1000 мм протяженностью L=3,5 х 2 км; реконструкция магистрали ТМ-11 на участках: от ПНС-111 до узла 145 ул. Производственная с  Ду=800/600 мм на Ду = 1000 мм, 1,622 х 2 км; от узла 145 ул. Производственная до узла 146.40 с Ду=400 мм на Ду = 1000 м</w:t>
      </w:r>
      <w:r>
        <w:rPr>
          <w:rFonts w:ascii="Times New Roman" w:hAnsi="Times New Roman" w:cs="Times New Roman"/>
          <w:sz w:val="24"/>
          <w:szCs w:val="24"/>
        </w:rPr>
        <w:t xml:space="preserve">м, L=1,084 х 2 км" в рамках реализации инвестиционного проекта J_505-ХТСКх-76.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left="0" w:right="0" w:firstLine="0"/>
        <w:jc w:val="center"/>
        <w:spacing w:before="60" w:after="60" w:line="240" w:lineRule="auto"/>
        <w:rPr>
          <w:b w:val="0"/>
          <w:bCs w:val="0"/>
          <w:i w:val="0"/>
          <w:iCs w:val="0"/>
          <w:sz w:val="24"/>
          <w:szCs w:val="24"/>
          <w14:ligatures w14:val="none"/>
        </w:rPr>
        <w:suppressLineNumbers w:val="0"/>
      </w:pPr>
      <w:r>
        <w:rPr>
          <w:b w:val="0"/>
          <w:bCs w:val="0"/>
          <w:i w:val="0"/>
          <w:iCs w:val="0"/>
          <w:sz w:val="24"/>
          <w:szCs w:val="24"/>
          <w:lang w:eastAsia="en-US"/>
        </w:rPr>
      </w:r>
      <w:r>
        <w:rPr>
          <w:b w:val="0"/>
          <w:bCs w:val="0"/>
          <w:i w:val="0"/>
          <w:iCs w:val="0"/>
          <w:sz w:val="24"/>
          <w:szCs w:val="24"/>
          <w14:ligatures w14:val="none"/>
        </w:rPr>
      </w:r>
      <w:r>
        <w:rPr>
          <w:b w:val="0"/>
          <w:bCs w:val="0"/>
          <w:i w:val="0"/>
          <w:iCs w:val="0"/>
          <w:sz w:val="24"/>
          <w:szCs w:val="24"/>
          <w14:ligatures w14:val="none"/>
        </w:rPr>
      </w:r>
    </w:p>
    <w:p>
      <w:pPr>
        <w:ind w:right="-108" w:firstLine="0"/>
        <w:jc w:val="center"/>
        <w:spacing w:before="60" w:after="60" w:line="240" w:lineRule="auto"/>
        <w:rPr>
          <w:b w:val="0"/>
          <w:bCs w:val="0"/>
          <w:i/>
          <w:color w:val="1d2228"/>
          <w:sz w:val="24"/>
          <w:szCs w:val="24"/>
          <w:shd w:val="clear" w:color="auto" w:fill="ffffff"/>
        </w:rPr>
      </w:pPr>
      <w:r>
        <w:rPr>
          <w:b w:val="0"/>
          <w:bCs w:val="0"/>
          <w:i/>
          <w:color w:val="1d2228"/>
          <w:sz w:val="24"/>
          <w:szCs w:val="24"/>
          <w:shd w:val="clear" w:color="auto" w:fill="ffffff"/>
        </w:rPr>
      </w:r>
      <w:r>
        <w:rPr>
          <w:b w:val="0"/>
          <w:bCs w:val="0"/>
          <w:i/>
          <w:color w:val="1d2228"/>
          <w:sz w:val="24"/>
          <w:szCs w:val="24"/>
          <w:shd w:val="clear" w:color="auto" w:fill="ffffff"/>
        </w:rPr>
      </w:r>
      <w:r>
        <w:rPr>
          <w:b w:val="0"/>
          <w:bCs w:val="0"/>
          <w:i/>
          <w:color w:val="1d2228"/>
          <w:sz w:val="24"/>
          <w:szCs w:val="24"/>
          <w:shd w:val="clear" w:color="auto" w:fill="ffffff"/>
        </w:rPr>
      </w:r>
    </w:p>
    <w:p>
      <w:pPr>
        <w:ind w:firstLine="0"/>
        <w:jc w:val="center"/>
        <w:keepLines/>
        <w:keepNext/>
        <w:spacing w:line="240" w:lineRule="auto"/>
        <w:rPr>
          <w:rFonts w:eastAsia="Calibri"/>
          <w:b w:val="0"/>
          <w:bCs w:val="0"/>
          <w:sz w:val="24"/>
          <w:szCs w:val="24"/>
          <w:highlight w:val="yellow"/>
        </w:rPr>
      </w:pPr>
      <w:r>
        <w:rPr>
          <w:rFonts w:eastAsia="Calibri"/>
          <w:b w:val="0"/>
          <w:bCs w:val="0"/>
          <w:sz w:val="24"/>
          <w:szCs w:val="24"/>
          <w:highlight w:val="yellow"/>
        </w:rPr>
      </w:r>
      <w:r>
        <w:rPr>
          <w:rFonts w:eastAsia="Calibri"/>
          <w:b w:val="0"/>
          <w:bCs w:val="0"/>
          <w:sz w:val="24"/>
          <w:szCs w:val="24"/>
          <w:highlight w:val="yellow"/>
        </w:rPr>
      </w:r>
      <w:r>
        <w:rPr>
          <w:rFonts w:eastAsia="Calibri"/>
          <w:b w:val="0"/>
          <w:bCs w:val="0"/>
          <w:sz w:val="24"/>
          <w:szCs w:val="24"/>
          <w:highlight w:val="yellow"/>
        </w:rPr>
      </w:r>
    </w:p>
    <w:p>
      <w:pPr>
        <w:ind w:left="0" w:right="0" w:firstLine="0"/>
        <w:jc w:val="center"/>
        <w:spacing w:before="60" w:after="60" w:line="240" w:lineRule="auto"/>
        <w:rPr>
          <w:b w:val="0"/>
          <w:bCs w:val="0"/>
          <w:i w:val="0"/>
          <w:iCs w:val="0"/>
          <w:sz w:val="24"/>
          <w:szCs w:val="24"/>
          <w:highlight w:val="white"/>
        </w:rPr>
      </w:pPr>
      <w:r>
        <w:rPr>
          <w:rFonts w:eastAsia="Calibri"/>
          <w:b w:val="0"/>
          <w:bCs w:val="0"/>
          <w:sz w:val="24"/>
          <w:szCs w:val="24"/>
          <w:highlight w:val="white"/>
        </w:rPr>
        <w:t xml:space="preserve">Лот № </w:t>
      </w:r>
      <w:r>
        <w:rPr>
          <w:i w:val="0"/>
          <w:iCs w:val="0"/>
          <w:sz w:val="24"/>
          <w:szCs w:val="24"/>
          <w:highlight w:val="white"/>
          <w:lang w:eastAsia="en-US"/>
        </w:rPr>
        <w:t xml:space="preserve">22126009-ТПИР ОБСЛ-2026-ДГК-ХТС</w:t>
      </w:r>
      <w:r>
        <w:rPr>
          <w:b w:val="0"/>
          <w:bCs w:val="0"/>
          <w:i w:val="0"/>
          <w:iCs w:val="0"/>
          <w:sz w:val="24"/>
          <w:szCs w:val="24"/>
          <w:highlight w:val="white"/>
        </w:rPr>
      </w:r>
      <w:r>
        <w:rPr>
          <w:b w:val="0"/>
          <w:bCs w:val="0"/>
          <w:i w:val="0"/>
          <w:iCs w:val="0"/>
          <w:sz w:val="24"/>
          <w:szCs w:val="24"/>
          <w:highlight w:val="white"/>
        </w:rPr>
      </w:r>
    </w:p>
    <w:p>
      <w:pPr>
        <w:ind w:firstLine="0"/>
        <w:jc w:val="center"/>
        <w:keepLines/>
        <w:keepNext/>
        <w:spacing w:line="240" w:lineRule="auto"/>
        <w:rPr>
          <w:b/>
          <w:bCs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0"/>
        <w:jc w:val="center"/>
        <w:keepLines/>
        <w:keepNext/>
        <w:spacing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jc w:val="both"/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spacing w:after="160" w:line="259" w:lineRule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 w:clear="all"/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ind w:firstLine="0"/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СОДЕРЖАНИЕ 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997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4"/>
          <w:szCs w:val="24"/>
        </w:rPr>
      </w:pPr>
      <w:r>
        <w:rPr>
          <w:rFonts w:ascii="Times New Roman" w:hAnsi="Times New Roman" w:eastAsia="Calibri"/>
          <w:bCs w:val="0"/>
          <w:sz w:val="24"/>
          <w:szCs w:val="24"/>
        </w:rPr>
        <w:fldChar w:fldCharType="begin"/>
      </w:r>
      <w:r>
        <w:rPr>
          <w:rFonts w:ascii="Times New Roman" w:hAnsi="Times New Roman" w:eastAsia="Calibri"/>
          <w:bCs w:val="0"/>
          <w:sz w:val="24"/>
          <w:szCs w:val="24"/>
        </w:rPr>
        <w:instrText xml:space="preserve"> TOC \o "1-3" \h \z \u </w:instrText>
      </w:r>
      <w:r>
        <w:rPr>
          <w:rFonts w:ascii="Times New Roman" w:hAnsi="Times New Roman" w:eastAsia="Calibri"/>
          <w:bCs w:val="0"/>
          <w:sz w:val="24"/>
          <w:szCs w:val="24"/>
        </w:rPr>
        <w:fldChar w:fldCharType="separate"/>
      </w:r>
      <w:hyperlink w:tooltip="#_Toc157784541" w:anchor="_Toc157784541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1. Общие сведения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PAGEREF _Toc157784541 \h </w:instrText>
        </w:r>
        <w:r>
          <w:rPr>
            <w:rFonts w:ascii="Times New Roman" w:hAnsi="Times New Roman"/>
            <w:sz w:val="24"/>
            <w:szCs w:val="24"/>
          </w:rPr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 xml:space="preserve">3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hyperlink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</w:p>
    <w:p>
      <w:pPr>
        <w:pStyle w:val="1017"/>
        <w:ind w:left="0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4"/>
          <w:szCs w:val="24"/>
        </w:rPr>
      </w:pPr>
      <w:r>
        <w:rPr>
          <w:sz w:val="24"/>
          <w:szCs w:val="24"/>
        </w:rPr>
      </w:r>
      <w:hyperlink w:tooltip="#_Toc157784542" w:anchor="_Toc157784542" w:history="1">
        <w:r>
          <w:rPr>
            <w:rStyle w:val="999"/>
            <w:rFonts w:ascii="Times New Roman" w:hAnsi="Times New Roman"/>
            <w:i w:val="0"/>
            <w:sz w:val="24"/>
            <w:szCs w:val="24"/>
          </w:rPr>
          <w:t xml:space="preserve">1.1. Обозначения и сокращения</w:t>
        </w:r>
        <w:r>
          <w:rPr>
            <w:rFonts w:ascii="Times New Roman" w:hAnsi="Times New Roman"/>
            <w:i w:val="0"/>
            <w:sz w:val="24"/>
            <w:szCs w:val="24"/>
          </w:rPr>
          <w:tab/>
        </w:r>
        <w:r>
          <w:rPr>
            <w:rFonts w:ascii="Times New Roman" w:hAnsi="Times New Roman"/>
            <w:i w:val="0"/>
            <w:sz w:val="24"/>
            <w:szCs w:val="24"/>
          </w:rPr>
          <w:fldChar w:fldCharType="begin"/>
        </w:r>
        <w:r>
          <w:rPr>
            <w:rFonts w:ascii="Times New Roman" w:hAnsi="Times New Roman"/>
            <w:i w:val="0"/>
            <w:sz w:val="24"/>
            <w:szCs w:val="24"/>
          </w:rPr>
          <w:instrText xml:space="preserve"> PAGEREF _Toc157784542 \h </w:instrText>
        </w:r>
        <w:r>
          <w:rPr>
            <w:rFonts w:ascii="Times New Roman" w:hAnsi="Times New Roman"/>
            <w:i w:val="0"/>
            <w:sz w:val="24"/>
            <w:szCs w:val="24"/>
          </w:rPr>
        </w:r>
        <w:r>
          <w:rPr>
            <w:rFonts w:ascii="Times New Roman" w:hAnsi="Times New Roman"/>
            <w:i w:val="0"/>
            <w:sz w:val="24"/>
            <w:szCs w:val="24"/>
          </w:rPr>
          <w:fldChar w:fldCharType="separate"/>
        </w:r>
        <w:r>
          <w:rPr>
            <w:rFonts w:ascii="Times New Roman" w:hAnsi="Times New Roman"/>
            <w:i w:val="0"/>
            <w:sz w:val="24"/>
            <w:szCs w:val="24"/>
          </w:rPr>
          <w:t xml:space="preserve">3</w:t>
        </w:r>
        <w:r>
          <w:rPr>
            <w:rFonts w:ascii="Times New Roman" w:hAnsi="Times New Roman"/>
            <w:i w:val="0"/>
            <w:sz w:val="24"/>
            <w:szCs w:val="24"/>
          </w:rPr>
          <w:fldChar w:fldCharType="end"/>
        </w:r>
      </w:hyperlink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</w:p>
    <w:p>
      <w:pPr>
        <w:pStyle w:val="1017"/>
        <w:ind w:left="0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4"/>
          <w:szCs w:val="24"/>
        </w:rPr>
      </w:pPr>
      <w:r>
        <w:rPr>
          <w:sz w:val="24"/>
          <w:szCs w:val="24"/>
        </w:rPr>
      </w:r>
      <w:hyperlink w:tooltip="#_Toc157784543" w:anchor="_Toc157784543" w:history="1">
        <w:r>
          <w:rPr>
            <w:rStyle w:val="999"/>
            <w:rFonts w:ascii="Times New Roman" w:hAnsi="Times New Roman"/>
            <w:i w:val="0"/>
            <w:sz w:val="24"/>
            <w:szCs w:val="24"/>
          </w:rPr>
          <w:t xml:space="preserve">1.2 Наименование закупаемой продукции</w:t>
        </w:r>
        <w:r>
          <w:rPr>
            <w:rFonts w:ascii="Times New Roman" w:hAnsi="Times New Roman"/>
            <w:i w:val="0"/>
            <w:sz w:val="24"/>
            <w:szCs w:val="24"/>
          </w:rPr>
          <w:tab/>
        </w:r>
        <w:r>
          <w:rPr>
            <w:rFonts w:ascii="Times New Roman" w:hAnsi="Times New Roman"/>
            <w:i w:val="0"/>
            <w:sz w:val="24"/>
            <w:szCs w:val="24"/>
          </w:rPr>
          <w:fldChar w:fldCharType="begin"/>
        </w:r>
        <w:r>
          <w:rPr>
            <w:rFonts w:ascii="Times New Roman" w:hAnsi="Times New Roman"/>
            <w:i w:val="0"/>
            <w:sz w:val="24"/>
            <w:szCs w:val="24"/>
          </w:rPr>
          <w:instrText xml:space="preserve"> PAGEREF _Toc157784543 \h </w:instrText>
        </w:r>
        <w:r>
          <w:rPr>
            <w:rFonts w:ascii="Times New Roman" w:hAnsi="Times New Roman"/>
            <w:i w:val="0"/>
            <w:sz w:val="24"/>
            <w:szCs w:val="24"/>
          </w:rPr>
        </w:r>
        <w:r>
          <w:rPr>
            <w:rFonts w:ascii="Times New Roman" w:hAnsi="Times New Roman"/>
            <w:i w:val="0"/>
            <w:sz w:val="24"/>
            <w:szCs w:val="24"/>
          </w:rPr>
          <w:fldChar w:fldCharType="separate"/>
        </w:r>
        <w:r>
          <w:rPr>
            <w:rFonts w:ascii="Times New Roman" w:hAnsi="Times New Roman"/>
            <w:i w:val="0"/>
            <w:sz w:val="24"/>
            <w:szCs w:val="24"/>
          </w:rPr>
          <w:t xml:space="preserve">3</w:t>
        </w:r>
        <w:r>
          <w:rPr>
            <w:rFonts w:ascii="Times New Roman" w:hAnsi="Times New Roman"/>
            <w:i w:val="0"/>
            <w:sz w:val="24"/>
            <w:szCs w:val="24"/>
          </w:rPr>
          <w:fldChar w:fldCharType="end"/>
        </w:r>
      </w:hyperlink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</w:p>
    <w:p>
      <w:pPr>
        <w:pStyle w:val="1017"/>
        <w:ind w:left="0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4"/>
          <w:szCs w:val="24"/>
        </w:rPr>
      </w:pPr>
      <w:r>
        <w:rPr>
          <w:sz w:val="24"/>
          <w:szCs w:val="24"/>
        </w:rPr>
      </w:r>
      <w:hyperlink w:tooltip="#_Toc157784544" w:anchor="_Toc157784544" w:history="1">
        <w:r>
          <w:rPr>
            <w:rStyle w:val="999"/>
            <w:rFonts w:ascii="Times New Roman" w:hAnsi="Times New Roman"/>
            <w:i w:val="0"/>
            <w:sz w:val="24"/>
            <w:szCs w:val="24"/>
          </w:rPr>
          <w:t xml:space="preserve">1.3 Цель выполнения работ</w:t>
        </w:r>
        <w:r>
          <w:rPr>
            <w:rFonts w:ascii="Times New Roman" w:hAnsi="Times New Roman"/>
            <w:i w:val="0"/>
            <w:sz w:val="24"/>
            <w:szCs w:val="24"/>
          </w:rPr>
          <w:tab/>
        </w:r>
        <w:r>
          <w:rPr>
            <w:rFonts w:ascii="Times New Roman" w:hAnsi="Times New Roman"/>
            <w:i w:val="0"/>
            <w:sz w:val="24"/>
            <w:szCs w:val="24"/>
          </w:rPr>
          <w:fldChar w:fldCharType="begin"/>
        </w:r>
        <w:r>
          <w:rPr>
            <w:rFonts w:ascii="Times New Roman" w:hAnsi="Times New Roman"/>
            <w:i w:val="0"/>
            <w:sz w:val="24"/>
            <w:szCs w:val="24"/>
          </w:rPr>
          <w:instrText xml:space="preserve"> PAGEREF _Toc157784544 \h </w:instrText>
        </w:r>
        <w:r>
          <w:rPr>
            <w:rFonts w:ascii="Times New Roman" w:hAnsi="Times New Roman"/>
            <w:i w:val="0"/>
            <w:sz w:val="24"/>
            <w:szCs w:val="24"/>
          </w:rPr>
        </w:r>
        <w:r>
          <w:rPr>
            <w:rFonts w:ascii="Times New Roman" w:hAnsi="Times New Roman"/>
            <w:i w:val="0"/>
            <w:sz w:val="24"/>
            <w:szCs w:val="24"/>
          </w:rPr>
          <w:fldChar w:fldCharType="separate"/>
        </w:r>
        <w:r>
          <w:rPr>
            <w:rFonts w:ascii="Times New Roman" w:hAnsi="Times New Roman"/>
            <w:i w:val="0"/>
            <w:sz w:val="24"/>
            <w:szCs w:val="24"/>
          </w:rPr>
          <w:t xml:space="preserve">3</w:t>
        </w:r>
        <w:r>
          <w:rPr>
            <w:rFonts w:ascii="Times New Roman" w:hAnsi="Times New Roman"/>
            <w:i w:val="0"/>
            <w:sz w:val="24"/>
            <w:szCs w:val="24"/>
          </w:rPr>
          <w:fldChar w:fldCharType="end"/>
        </w:r>
      </w:hyperlink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</w:p>
    <w:p>
      <w:pPr>
        <w:pStyle w:val="997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57784545" w:anchor="_Toc157784545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Таблица 1. Перечень объектов заказчика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PAGEREF _Toc157784545 \h </w:instrText>
        </w:r>
        <w:r>
          <w:rPr>
            <w:rFonts w:ascii="Times New Roman" w:hAnsi="Times New Roman"/>
            <w:sz w:val="24"/>
            <w:szCs w:val="24"/>
          </w:rPr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 xml:space="preserve">3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hyperlink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</w:p>
    <w:p>
      <w:pPr>
        <w:pStyle w:val="1017"/>
        <w:ind w:left="0"/>
        <w:jc w:val="both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4"/>
          <w:szCs w:val="24"/>
        </w:rPr>
      </w:pPr>
      <w:r>
        <w:rPr>
          <w:sz w:val="24"/>
          <w:szCs w:val="24"/>
        </w:rPr>
      </w:r>
      <w:hyperlink w:tooltip="#_Toc157784546" w:anchor="_Toc157784546" w:history="1">
        <w:r>
          <w:rPr>
            <w:rStyle w:val="999"/>
            <w:rFonts w:ascii="Times New Roman" w:hAnsi="Times New Roman"/>
            <w:i w:val="0"/>
            <w:sz w:val="24"/>
            <w:szCs w:val="24"/>
          </w:rPr>
          <w:t xml:space="preserve">1.4.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>
          <w:rPr>
            <w:rFonts w:ascii="Times New Roman" w:hAnsi="Times New Roman"/>
            <w:i w:val="0"/>
            <w:sz w:val="24"/>
            <w:szCs w:val="24"/>
          </w:rPr>
          <w:tab/>
        </w:r>
        <w:r>
          <w:rPr>
            <w:rFonts w:ascii="Times New Roman" w:hAnsi="Times New Roman"/>
            <w:i w:val="0"/>
            <w:sz w:val="24"/>
            <w:szCs w:val="24"/>
          </w:rPr>
          <w:t xml:space="preserve">4</w:t>
        </w:r>
      </w:hyperlink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rFonts w:eastAsia="Tahoma" w:cs="Lohit Devanagari"/>
          <w:b w:val="0"/>
          <w:bCs w:val="0"/>
          <w:sz w:val="24"/>
          <w:szCs w:val="24"/>
        </w:rPr>
        <w:t xml:space="preserve">1.5. И</w:t>
      </w:r>
      <w:r>
        <w:rPr>
          <w:rFonts w:eastAsia="Calibri" w:cs="Lohit Devanagari"/>
          <w:b w:val="0"/>
          <w:bCs w:val="0"/>
          <w:sz w:val="24"/>
          <w:szCs w:val="24"/>
        </w:rPr>
        <w:t xml:space="preserve">ные требования и сведения общего характера</w:t>
      </w:r>
      <w:r>
        <w:rPr>
          <w:b w:val="0"/>
          <w:bCs w:val="0"/>
          <w:sz w:val="24"/>
          <w:szCs w:val="24"/>
        </w:rPr>
        <w:t xml:space="preserve">                                                               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7"/>
        <w:contextualSpacing/>
        <w:jc w:val="left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4"/>
          <w:szCs w:val="24"/>
        </w:rPr>
        <w:suppressLineNumbers w:val="0"/>
      </w:pPr>
      <w:r>
        <w:rPr>
          <w:sz w:val="24"/>
          <w:szCs w:val="24"/>
        </w:rPr>
      </w:r>
      <w:hyperlink w:tooltip="#_Toc157784547" w:anchor="_Toc157784547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2. Требования к продукции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</w:p>
    <w:p>
      <w:pPr>
        <w:pStyle w:val="1017"/>
        <w:contextualSpacing/>
        <w:ind w:left="0"/>
        <w:jc w:val="left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4"/>
          <w:szCs w:val="24"/>
        </w:rPr>
        <w:suppressLineNumbers w:val="0"/>
      </w:pPr>
      <w:r>
        <w:rPr>
          <w:sz w:val="24"/>
          <w:szCs w:val="24"/>
        </w:rPr>
      </w:r>
      <w:hyperlink w:tooltip="#_Toc157784548" w:anchor="_Toc157784548" w:history="1">
        <w:r>
          <w:rPr>
            <w:rStyle w:val="999"/>
            <w:rFonts w:ascii="Times New Roman" w:hAnsi="Times New Roman"/>
            <w:i w:val="0"/>
            <w:sz w:val="24"/>
            <w:szCs w:val="24"/>
          </w:rPr>
          <w:t xml:space="preserve">2.1 Требования к объемам и срока</w:t>
        </w:r>
        <w:bookmarkStart w:id="0" w:name="_GoBack"/>
        <w:bookmarkEnd w:id="0"/>
        <w:r>
          <w:rPr>
            <w:rStyle w:val="999"/>
            <w:rFonts w:ascii="Times New Roman" w:hAnsi="Times New Roman"/>
            <w:i w:val="0"/>
            <w:sz w:val="24"/>
            <w:szCs w:val="24"/>
          </w:rPr>
          <w:t xml:space="preserve">м выполнения работ</w:t>
        </w:r>
        <w:r>
          <w:rPr>
            <w:rFonts w:ascii="Times New Roman" w:hAnsi="Times New Roman"/>
            <w:i w:val="0"/>
            <w:sz w:val="24"/>
            <w:szCs w:val="24"/>
          </w:rPr>
          <w:tab/>
        </w:r>
        <w:r>
          <w:rPr>
            <w:rFonts w:ascii="Times New Roman" w:hAnsi="Times New Roman"/>
            <w:i w:val="0"/>
            <w:sz w:val="24"/>
            <w:szCs w:val="24"/>
          </w:rPr>
          <w:t xml:space="preserve">5</w:t>
        </w:r>
      </w:hyperlink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</w:p>
    <w:p>
      <w:pPr>
        <w:pStyle w:val="998"/>
        <w:contextualSpacing/>
        <w:ind w:left="0"/>
        <w:jc w:val="left"/>
        <w:tabs>
          <w:tab w:val="right" w:pos="9912" w:leader="dot"/>
        </w:tabs>
        <w:rPr>
          <w:rFonts w:ascii="Times New Roman" w:hAnsi="Times New Roman" w:eastAsiaTheme="minorEastAsia"/>
          <w:sz w:val="24"/>
          <w:szCs w:val="24"/>
        </w:rPr>
        <w:suppressLineNumbers w:val="0"/>
      </w:pPr>
      <w:r>
        <w:rPr>
          <w:sz w:val="24"/>
          <w:szCs w:val="24"/>
        </w:rPr>
      </w:r>
      <w:hyperlink w:tooltip="#_Toc157784549" w:anchor="_Toc157784549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2.1.1 Требования к видам и объемам работ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Theme="minorEastAsia"/>
          <w:sz w:val="24"/>
          <w:szCs w:val="24"/>
        </w:rPr>
      </w:r>
      <w:r>
        <w:rPr>
          <w:rFonts w:ascii="Times New Roman" w:hAnsi="Times New Roman" w:eastAsiaTheme="minorEastAsia"/>
          <w:sz w:val="24"/>
          <w:szCs w:val="24"/>
        </w:rPr>
      </w:r>
    </w:p>
    <w:p>
      <w:pPr>
        <w:pStyle w:val="997"/>
        <w:contextualSpacing/>
        <w:jc w:val="left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4"/>
          <w:szCs w:val="24"/>
        </w:rPr>
        <w:suppressLineNumbers w:val="0"/>
      </w:pPr>
      <w:r>
        <w:rPr>
          <w:sz w:val="24"/>
          <w:szCs w:val="24"/>
        </w:rPr>
      </w:r>
      <w:hyperlink w:tooltip="#_Toc157784550" w:anchor="_Toc157784550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Таблица 2. Перечень и объем выполняемых работ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</w:p>
    <w:p>
      <w:pPr>
        <w:pStyle w:val="998"/>
        <w:contextualSpacing/>
        <w:ind w:left="0"/>
        <w:jc w:val="left"/>
        <w:tabs>
          <w:tab w:val="right" w:pos="9912" w:leader="dot"/>
        </w:tabs>
        <w:rPr>
          <w:rFonts w:ascii="Times New Roman" w:hAnsi="Times New Roman" w:eastAsiaTheme="minorEastAsia"/>
          <w:sz w:val="24"/>
          <w:szCs w:val="24"/>
        </w:rPr>
        <w:suppressLineNumbers w:val="0"/>
      </w:pPr>
      <w:r>
        <w:rPr>
          <w:sz w:val="24"/>
          <w:szCs w:val="24"/>
        </w:rPr>
      </w:r>
      <w:hyperlink w:tooltip="#_Toc157784551" w:anchor="_Toc157784551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2.1.2 Требования к срокам выполнения работ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Theme="minorEastAsia"/>
          <w:sz w:val="24"/>
          <w:szCs w:val="24"/>
        </w:rPr>
      </w:r>
      <w:r>
        <w:rPr>
          <w:rFonts w:ascii="Times New Roman" w:hAnsi="Times New Roman" w:eastAsiaTheme="minorEastAsia"/>
          <w:sz w:val="24"/>
          <w:szCs w:val="24"/>
        </w:rPr>
      </w:r>
    </w:p>
    <w:p>
      <w:pPr>
        <w:pStyle w:val="997"/>
        <w:contextualSpacing/>
        <w:jc w:val="left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4"/>
          <w:szCs w:val="24"/>
        </w:rPr>
        <w:suppressLineNumbers w:val="0"/>
      </w:pPr>
      <w:r>
        <w:rPr>
          <w:sz w:val="24"/>
          <w:szCs w:val="24"/>
        </w:rPr>
      </w:r>
      <w:hyperlink w:tooltip="#_Toc157784552" w:anchor="_Toc157784552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Таблица 3. Требования по срокам выполнения работ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 xml:space="preserve">5</w:t>
        </w:r>
      </w:hyperlink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</w:p>
    <w:p>
      <w:pPr>
        <w:pStyle w:val="1017"/>
        <w:contextualSpacing/>
        <w:ind w:left="0"/>
        <w:jc w:val="left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4"/>
          <w:szCs w:val="24"/>
        </w:rPr>
        <w:suppressLineNumbers w:val="0"/>
      </w:pPr>
      <w:r>
        <w:rPr>
          <w:sz w:val="24"/>
          <w:szCs w:val="24"/>
        </w:rPr>
      </w:r>
      <w:hyperlink w:tooltip="#_Toc157784553" w:anchor="_Toc157784553" w:history="1">
        <w:r>
          <w:rPr>
            <w:rFonts w:ascii="Times New Roman" w:hAnsi="Times New Roman"/>
            <w:i w:val="0"/>
            <w:sz w:val="24"/>
            <w:szCs w:val="24"/>
          </w:rPr>
        </w:r>
        <w:r>
          <w:rPr>
            <w:rStyle w:val="999"/>
            <w:rFonts w:ascii="Times New Roman" w:hAnsi="Times New Roman"/>
            <w:i w:val="0"/>
            <w:sz w:val="24"/>
            <w:szCs w:val="24"/>
          </w:rPr>
          <w:t xml:space="preserve">2.2 Требования к качеству работ</w:t>
        </w:r>
        <w:r>
          <w:rPr>
            <w:rFonts w:ascii="Times New Roman" w:hAnsi="Times New Roman"/>
            <w:i w:val="0"/>
            <w:sz w:val="24"/>
            <w:szCs w:val="24"/>
          </w:rPr>
          <w:tab/>
        </w:r>
        <w:r>
          <w:rPr>
            <w:rFonts w:ascii="Times New Roman" w:hAnsi="Times New Roman"/>
            <w:i w:val="0"/>
            <w:sz w:val="24"/>
            <w:szCs w:val="24"/>
          </w:rPr>
          <w:t xml:space="preserve">6</w:t>
        </w:r>
      </w:hyperlink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</w:p>
    <w:p>
      <w:pPr>
        <w:pStyle w:val="997"/>
        <w:contextualSpacing/>
        <w:jc w:val="left"/>
        <w:spacing w:before="0" w:after="0"/>
        <w:tabs>
          <w:tab w:val="right" w:pos="9912" w:leader="dot"/>
        </w:tabs>
        <w:rPr>
          <w:rFonts w:ascii="Times New Roman" w:hAnsi="Times New Roman"/>
          <w:sz w:val="24"/>
          <w:szCs w:val="24"/>
        </w:rPr>
        <w:suppressLineNumbers w:val="0"/>
      </w:pPr>
      <w:r>
        <w:rPr>
          <w:sz w:val="24"/>
          <w:szCs w:val="24"/>
        </w:rPr>
      </w:r>
      <w:hyperlink w:tooltip="#_Toc157784554" w:anchor="_Toc157784554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Таблица 4. Требования к качеству работ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 xml:space="preserve">6</w:t>
        </w:r>
      </w:hyperlink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97"/>
        <w:contextualSpacing/>
        <w:jc w:val="left"/>
        <w:spacing w:before="0" w:after="0"/>
        <w:tabs>
          <w:tab w:val="right" w:pos="9912" w:leader="dot"/>
        </w:tabs>
        <w:rPr>
          <w:rFonts w:ascii="Times New Roman" w:hAnsi="Times New Roman"/>
          <w:sz w:val="24"/>
          <w:szCs w:val="24"/>
        </w:rPr>
        <w:suppressLineNumbers w:val="0"/>
      </w:pPr>
      <w:r>
        <w:rPr>
          <w:sz w:val="24"/>
          <w:szCs w:val="24"/>
        </w:rPr>
      </w:r>
      <w:hyperlink w:tooltip="#_Toc157784556" w:anchor="_Toc157784556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3. Требования к документации по ценообразованию на этапе за</w:t>
        </w:r>
        <w:r>
          <w:rPr>
            <w:rStyle w:val="999"/>
            <w:rFonts w:ascii="Times New Roman" w:hAnsi="Times New Roman"/>
            <w:sz w:val="24"/>
            <w:szCs w:val="24"/>
          </w:rPr>
          <w:t xml:space="preserve">купки                        </w:t>
        </w:r>
        <w:r>
          <w:rPr>
            <w:rStyle w:val="999"/>
            <w:rFonts w:ascii="Times New Roman" w:hAnsi="Times New Roman"/>
            <w:sz w:val="24"/>
            <w:szCs w:val="24"/>
          </w:rPr>
          <w:t xml:space="preserve">19</w:t>
        </w:r>
      </w:hyperlink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97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57784557" w:anchor="_Toc157784557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4. Требования к документации по ценообразованию на этапе заключения (исполнения) договора</w:t>
        </w:r>
        <w:r>
          <w:rPr>
            <w:rFonts w:ascii="Times New Roman" w:hAnsi="Times New Roman"/>
            <w:sz w:val="24"/>
            <w:szCs w:val="24"/>
          </w:rPr>
          <w:t xml:space="preserve">                                                                                                                        20</w:t>
        </w:r>
      </w:hyperlink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</w:p>
    <w:p>
      <w:pPr>
        <w:pStyle w:val="1017"/>
        <w:ind w:left="0"/>
        <w:spacing w:before="0"/>
        <w:tabs>
          <w:tab w:val="right" w:pos="9912" w:leader="dot"/>
        </w:tabs>
        <w:rPr>
          <w:rFonts w:ascii="Times New Roman" w:hAnsi="Times New Roman" w:eastAsiaTheme="minorEastAsia"/>
          <w:i w:val="0"/>
          <w:iCs w:val="0"/>
          <w:sz w:val="24"/>
          <w:szCs w:val="24"/>
        </w:rPr>
      </w:pPr>
      <w:r>
        <w:rPr>
          <w:sz w:val="24"/>
          <w:szCs w:val="24"/>
        </w:rPr>
      </w:r>
      <w:hyperlink w:tooltip="#_Toc157784558" w:anchor="_Toc157784558" w:history="1">
        <w:r>
          <w:rPr>
            <w:rStyle w:val="999"/>
            <w:rFonts w:ascii="Times New Roman" w:hAnsi="Times New Roman"/>
            <w:i w:val="0"/>
            <w:sz w:val="24"/>
            <w:szCs w:val="24"/>
          </w:rPr>
          <w:t xml:space="preserve">4.1. Требования к составлению сметной документации (при заключении договора)</w:t>
        </w:r>
        <w:r>
          <w:rPr>
            <w:rFonts w:ascii="Times New Roman" w:hAnsi="Times New Roman"/>
            <w:i w:val="0"/>
            <w:sz w:val="24"/>
            <w:szCs w:val="24"/>
          </w:rPr>
          <w:t xml:space="preserve">         20</w:t>
        </w:r>
      </w:hyperlink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  <w:r>
        <w:rPr>
          <w:rFonts w:ascii="Times New Roman" w:hAnsi="Times New Roman" w:eastAsiaTheme="minorEastAsia"/>
          <w:i w:val="0"/>
          <w:iCs w:val="0"/>
          <w:sz w:val="24"/>
          <w:szCs w:val="24"/>
        </w:rPr>
      </w:r>
    </w:p>
    <w:p>
      <w:pPr>
        <w:pStyle w:val="997"/>
        <w:spacing w:before="0" w:after="0"/>
        <w:tabs>
          <w:tab w:val="right" w:pos="9912" w:leader="dot"/>
        </w:tabs>
        <w:rPr>
          <w:rFonts w:ascii="Times New Roman" w:hAnsi="Times New Roman" w:eastAsiaTheme="minorEastAsia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57784559" w:anchor="_Toc157784559" w:history="1">
        <w:r>
          <w:rPr>
            <w:rStyle w:val="999"/>
            <w:rFonts w:ascii="Times New Roman" w:hAnsi="Times New Roman"/>
            <w:sz w:val="24"/>
            <w:szCs w:val="24"/>
          </w:rPr>
          <w:t xml:space="preserve">5. Приложения</w:t>
        </w:r>
        <w:r>
          <w:rPr>
            <w:rFonts w:ascii="Times New Roman" w:hAnsi="Times New Roman"/>
            <w:sz w:val="24"/>
            <w:szCs w:val="24"/>
          </w:rPr>
          <w:t xml:space="preserve">                                                                                                                           21</w:t>
        </w:r>
      </w:hyperlink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  <w:r>
        <w:rPr>
          <w:rFonts w:ascii="Times New Roman" w:hAnsi="Times New Roman" w:eastAsiaTheme="minorEastAsia"/>
          <w:b w:val="0"/>
          <w:bCs w:val="0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Cs/>
          <w:sz w:val="24"/>
          <w:szCs w:val="24"/>
        </w:rPr>
        <w:fldChar w:fldCharType="end"/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spacing w:after="160" w:line="259" w:lineRule="auto"/>
        <w:rPr>
          <w:rFonts w:eastAsia="Calibri"/>
          <w:b/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13"/>
        <w:rPr>
          <w:sz w:val="24"/>
          <w:szCs w:val="24"/>
        </w:rPr>
      </w:pPr>
      <w:r>
        <w:rPr>
          <w:sz w:val="24"/>
          <w:szCs w:val="24"/>
        </w:rPr>
      </w:r>
      <w:bookmarkStart w:id="1" w:name="_Toc157784541"/>
      <w:r>
        <w:rPr>
          <w:sz w:val="24"/>
          <w:szCs w:val="24"/>
        </w:rPr>
        <w:t xml:space="preserve">1. Общие сведения</w:t>
      </w:r>
      <w:bookmarkEnd w:id="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4"/>
        <w:rPr>
          <w:sz w:val="24"/>
          <w:szCs w:val="24"/>
        </w:rPr>
      </w:pPr>
      <w:r>
        <w:rPr>
          <w:sz w:val="24"/>
          <w:szCs w:val="24"/>
        </w:rPr>
      </w:r>
      <w:bookmarkStart w:id="2" w:name="_Toc157784542"/>
      <w:r>
        <w:rPr>
          <w:sz w:val="24"/>
          <w:szCs w:val="24"/>
        </w:rPr>
        <w:t xml:space="preserve">1.1. </w:t>
      </w:r>
      <w:bookmarkStart w:id="3" w:name="_Toc46743505"/>
      <w:r>
        <w:rPr>
          <w:sz w:val="24"/>
          <w:szCs w:val="24"/>
        </w:rPr>
      </w:r>
      <w:bookmarkStart w:id="4" w:name="_Toc54646396"/>
      <w:r>
        <w:rPr>
          <w:sz w:val="24"/>
          <w:szCs w:val="24"/>
        </w:rPr>
        <w:t xml:space="preserve">Обозначения и сокращения</w:t>
      </w:r>
      <w:bookmarkEnd w:id="2"/>
      <w:r>
        <w:rPr>
          <w:sz w:val="24"/>
          <w:szCs w:val="24"/>
        </w:rPr>
      </w:r>
      <w:bookmarkEnd w:id="3"/>
      <w:r>
        <w:rPr>
          <w:sz w:val="24"/>
          <w:szCs w:val="24"/>
        </w:rPr>
      </w:r>
      <w:bookmarkEnd w:id="4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shd w:val="clear" w:color="ffffff" w:fill="ffffff"/>
            <w:tcW w:w="178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НТД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Нормативно техническая документация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ffffff" w:fill="ffffff"/>
            <w:tcW w:w="178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Опасный производственный объект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ffffff" w:fill="ffffff"/>
            <w:tcW w:w="178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требования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shd w:val="clear" w:color="auto" w:fill="ffffff"/>
              </w:rPr>
              <w:t xml:space="preserve">Рабочая документация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shd w:val="clear" w:color="auto" w:fill="ffffff"/>
              </w:rPr>
              <w:t xml:space="preserve">СНиП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bCs/>
                <w:iCs/>
                <w:sz w:val="24"/>
                <w:szCs w:val="24"/>
                <w:shd w:val="clear" w:color="auto" w:fill="ffffff"/>
              </w:rPr>
              <w:t xml:space="preserve">Санитарные нормы и правила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bCs/>
                <w:iCs/>
                <w:sz w:val="24"/>
                <w:szCs w:val="24"/>
                <w:shd w:val="clear" w:color="auto" w:fill="ffffff"/>
              </w:rPr>
              <w:t xml:space="preserve">МТР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iCs/>
                <w:sz w:val="24"/>
                <w:szCs w:val="24"/>
              </w:rPr>
              <w:t xml:space="preserve">Материально – технические ресурсы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</w:rPr>
              <w:t xml:space="preserve">ИТР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Инженерно-технические работники;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rPr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bCs/>
                <w:iCs/>
                <w:sz w:val="24"/>
                <w:szCs w:val="24"/>
                <w:shd w:val="clear" w:color="auto" w:fill="ffffff"/>
              </w:rPr>
              <w:t xml:space="preserve">ТОиР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iCs/>
                <w:sz w:val="24"/>
                <w:szCs w:val="24"/>
              </w:rPr>
            </w:pPr>
            <w:r>
              <w:rPr>
                <w:b w:val="0"/>
                <w:bCs w:val="0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commentRangeStart w:id="0"/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Техническое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обслуживание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ремонт</w:t>
            </w:r>
            <w:r>
              <w:rPr>
                <w:b w:val="0"/>
                <w:bCs w:val="0"/>
                <w:iCs/>
                <w:sz w:val="24"/>
                <w:szCs w:val="24"/>
              </w:rPr>
            </w:r>
            <w:commentRangeEnd w:id="0"/>
            <w:r>
              <w:commentReference w:id="0"/>
            </w:r>
            <w:r>
              <w:rPr>
                <w:b w:val="0"/>
                <w:bCs w:val="0"/>
                <w:iCs/>
                <w:sz w:val="24"/>
                <w:szCs w:val="24"/>
              </w:rPr>
            </w:r>
            <w:r>
              <w:rPr>
                <w:b w:val="0"/>
                <w:bCs w:val="0"/>
                <w:iCs/>
                <w:sz w:val="24"/>
                <w:szCs w:val="24"/>
              </w:rPr>
            </w:r>
          </w:p>
        </w:tc>
      </w:tr>
    </w:tbl>
    <w:p>
      <w:pPr>
        <w:pStyle w:val="990"/>
        <w:ind w:left="0" w:firstLine="0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14"/>
        <w:rPr>
          <w:sz w:val="24"/>
          <w:szCs w:val="24"/>
        </w:rPr>
      </w:pPr>
      <w:r>
        <w:rPr>
          <w:sz w:val="24"/>
          <w:szCs w:val="24"/>
        </w:rPr>
      </w:r>
      <w:bookmarkStart w:id="5" w:name="_Toc157784543"/>
      <w:r>
        <w:rPr>
          <w:sz w:val="24"/>
          <w:szCs w:val="24"/>
        </w:rPr>
        <w:t xml:space="preserve">1.2 Наименование закупаемой продукции</w:t>
      </w:r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КПД 42.21.21. 000 Выполнение строительно-монтажных работ по объекту: "Строительство перемычки «Авангард» между магистралью ТМ-11 и магистралью «Горьковская»: строительство перемычки от узла 146.40 ул. Производственная до магистрали «Горьковская» (район ПНС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922) Ду= 1000 мм протяженностью L=3,5 х 2 км; реконструкция магистрали ТМ-11 на участках: от ПНС-111 до узла 145 ул. Производственная с  Ду=800/600 мм на Ду = 1000 мм, 1,622 х 2 км; от узла 145 ул. Производственная до узла 146.40 с Ду=400 мм на Ду = 1000 м</w:t>
      </w:r>
      <w:r>
        <w:rPr>
          <w:rFonts w:ascii="Times New Roman" w:hAnsi="Times New Roman" w:cs="Times New Roman"/>
          <w:sz w:val="24"/>
          <w:szCs w:val="24"/>
        </w:rPr>
        <w:t xml:space="preserve">м, L=1,084 х 2 км" в рамках реализации инвестиционного проекта J_505-ХТСКх-76.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20"/>
        <w:spacing w:line="24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4"/>
        <w:rPr>
          <w:sz w:val="24"/>
          <w:szCs w:val="24"/>
          <w:highlight w:val="none"/>
        </w:rPr>
      </w:pPr>
      <w:r>
        <w:rPr>
          <w:sz w:val="24"/>
          <w:szCs w:val="24"/>
        </w:rPr>
      </w:r>
      <w:bookmarkStart w:id="6" w:name="_Toc157784544"/>
      <w:r>
        <w:rPr>
          <w:sz w:val="24"/>
          <w:szCs w:val="24"/>
        </w:rPr>
        <w:t xml:space="preserve">1.3 Цель выполнения работ</w:t>
      </w:r>
      <w:bookmarkEnd w:id="6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widowControl w:val="off"/>
        <w:tabs>
          <w:tab w:val="left" w:pos="42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Целью работы является: обеспечение стабильного и бесперебойного теплоснабжения потребителей, снижение рисков отказа тепломеханического оборудования, увеличение срока эксплуатации трубопроводов, а также снижение эксплуатационных затрат, снижение </w:t>
      </w:r>
      <w:r>
        <w:rPr>
          <w:rFonts w:eastAsia="Calibri"/>
          <w:sz w:val="24"/>
          <w:szCs w:val="24"/>
        </w:rPr>
        <w:t xml:space="preserve">непроизводственных (ненормативных) тепловых потерь.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0"/>
        <w:jc w:val="both"/>
        <w:widowControl w:val="off"/>
        <w:tabs>
          <w:tab w:val="left" w:pos="426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13"/>
        <w:rPr>
          <w:sz w:val="24"/>
        </w:rPr>
      </w:pPr>
      <w:r>
        <w:rPr>
          <w:sz w:val="24"/>
          <w:szCs w:val="24"/>
        </w:rPr>
      </w:r>
      <w:bookmarkStart w:id="7" w:name="_Toc54646400"/>
      <w:r>
        <w:rPr>
          <w:sz w:val="24"/>
          <w:szCs w:val="24"/>
        </w:rPr>
      </w:r>
      <w:bookmarkStart w:id="8" w:name="_Toc157784545"/>
      <w:r>
        <w:rPr>
          <w:sz w:val="24"/>
        </w:rPr>
        <w:t xml:space="preserve">Таблица 1. Перечень объектов заказчика</w:t>
      </w:r>
      <w:bookmarkEnd w:id="7"/>
      <w:r>
        <w:rPr>
          <w:sz w:val="24"/>
          <w:szCs w:val="24"/>
        </w:rPr>
      </w:r>
      <w:bookmarkEnd w:id="8"/>
      <w:r>
        <w:rPr>
          <w:sz w:val="24"/>
        </w:rPr>
      </w:r>
      <w:r>
        <w:rPr>
          <w:sz w:val="24"/>
        </w:rPr>
      </w:r>
    </w:p>
    <w:tbl>
      <w:tblPr>
        <w:tblW w:w="100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089"/>
        <w:gridCol w:w="3543"/>
        <w:gridCol w:w="2835"/>
      </w:tblGrid>
      <w:tr>
        <w:tblPrEx/>
        <w:trPr>
          <w:trHeight w:val="1016"/>
        </w:trPr>
        <w:tc>
          <w:tcPr>
            <w:tcW w:w="562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9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0"/>
        </w:trPr>
        <w:tc>
          <w:tcPr>
            <w:tcW w:w="562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08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992"/>
        </w:trPr>
        <w:tc>
          <w:tcPr>
            <w:tcW w:w="562" w:type="dxa"/>
            <w:textDirection w:val="lrTb"/>
            <w:noWrap w:val="false"/>
          </w:tcPr>
          <w:p>
            <w:pPr>
              <w:pStyle w:val="990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08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КПД 42.21.21. 000 Выполнение строительно-монтажных работ по объекту: "Строительство перемычки «Авангард» между магистралью ТМ-11 и магистралью «Горьковская»: строительство перемычки от узла 146.40 ул. Производственная до магистрали «Горьковская» (район ПНС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922) Ду= 1000 мм протяженностью L=3,5 х 2 км; реконструкция магистрали ТМ-11 на участках: от ПНС-111 до узла 145 ул. Производственная с  Ду=800/600 мм на Ду = 1000 мм, 1,622 х 2 км; от узла 145 ул. Производственная до узла 146.40 с Ду=400 мм на Ду = 1000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м, L=1,084 х 2 км" в рамках реализации инвестиционного проекта J_505-ХТСКх-76.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ind w:firstLine="0"/>
              <w:jc w:val="both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Ро</w:t>
            </w:r>
            <w:r>
              <w:rPr>
                <w:bCs/>
                <w:sz w:val="24"/>
                <w:szCs w:val="24"/>
                <w:highlight w:val="none"/>
              </w:rPr>
              <w:t xml:space="preserve">ссийская Федерация, Хабаровский край, </w:t>
            </w:r>
            <w:r>
              <w:rPr>
                <w:bCs/>
                <w:sz w:val="24"/>
                <w:szCs w:val="24"/>
                <w:highlight w:val="none"/>
              </w:rPr>
              <w:t xml:space="preserve">г.Хабаровск</w:t>
            </w:r>
            <w:r>
              <w:rPr>
                <w:bCs/>
                <w:sz w:val="24"/>
                <w:szCs w:val="24"/>
                <w:highlight w:val="none"/>
              </w:rPr>
              <w:t xml:space="preserve">, 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вдоль улицы Производственная в районе дома Целинная 2В.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ind w:firstLine="0"/>
              <w:rPr>
                <w:rFonts w:eastAsia="Calibri"/>
                <w:sz w:val="24"/>
                <w:szCs w:val="24"/>
                <w:highlight w:val="yellow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  <w:t xml:space="preserve">-</w:t>
            </w:r>
            <w:r>
              <w:rPr>
                <w:rFonts w:eastAsia="Calibri"/>
                <w:sz w:val="24"/>
                <w:szCs w:val="24"/>
                <w:highlight w:val="yellow"/>
              </w:rPr>
            </w:r>
            <w:r>
              <w:rPr>
                <w:rFonts w:eastAsia="Calibri"/>
                <w:sz w:val="24"/>
                <w:szCs w:val="24"/>
                <w:highlight w:val="yellow"/>
              </w:rPr>
            </w:r>
          </w:p>
        </w:tc>
      </w:tr>
    </w:tbl>
    <w:p>
      <w:pPr>
        <w:ind w:firstLine="0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14"/>
        <w:jc w:val="both"/>
        <w:rPr>
          <w:sz w:val="24"/>
          <w:szCs w:val="24"/>
        </w:rPr>
      </w:pPr>
      <w:r>
        <w:rPr>
          <w:sz w:val="24"/>
          <w:szCs w:val="24"/>
        </w:rPr>
      </w:r>
      <w:bookmarkStart w:id="9" w:name="_Toc157784546"/>
      <w:r>
        <w:rPr>
          <w:sz w:val="24"/>
          <w:szCs w:val="24"/>
        </w:rPr>
        <w:t xml:space="preserve">1.4</w:t>
      </w:r>
      <w:r>
        <w:rPr>
          <w:sz w:val="24"/>
          <w:szCs w:val="24"/>
        </w:rPr>
        <w:t xml:space="preserve">. </w:t>
      </w:r>
      <w:bookmarkStart w:id="10" w:name="_Toc46743509"/>
      <w:r>
        <w:rPr>
          <w:sz w:val="24"/>
          <w:szCs w:val="24"/>
        </w:rPr>
      </w:r>
      <w:bookmarkStart w:id="11" w:name="_Hlk49857604"/>
      <w:r>
        <w:rPr>
          <w:sz w:val="24"/>
          <w:szCs w:val="24"/>
        </w:rPr>
        <w:t xml:space="preserve">Информация в отношении исполнения договора, </w:t>
      </w:r>
      <w:bookmarkStart w:id="12" w:name="_Hlk46492347"/>
      <w:r>
        <w:rPr>
          <w:sz w:val="24"/>
          <w:szCs w:val="24"/>
        </w:rPr>
        <w:t xml:space="preserve">которая должна быть учтена при подготовке заявки </w:t>
      </w:r>
      <w:bookmarkEnd w:id="12"/>
      <w:r>
        <w:rPr>
          <w:sz w:val="24"/>
          <w:szCs w:val="24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9"/>
      <w:r>
        <w:rPr>
          <w:sz w:val="24"/>
          <w:szCs w:val="24"/>
        </w:rPr>
      </w:r>
      <w:bookmarkEnd w:id="10"/>
      <w:r>
        <w:rPr>
          <w:sz w:val="24"/>
          <w:szCs w:val="24"/>
        </w:rPr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pacing w:before="120" w:after="120" w:line="240" w:lineRule="auto"/>
        <w:widowControl w:val="off"/>
        <w:tabs>
          <w:tab w:val="left" w:pos="426" w:leader="none"/>
        </w:tabs>
        <w:rPr>
          <w:rFonts w:eastAsia="Tahoma" w:cs="Lohit Devanagari"/>
          <w:b/>
          <w:bCs/>
          <w:sz w:val="24"/>
          <w:szCs w:val="24"/>
        </w:rPr>
      </w:pPr>
      <w:r>
        <w:rPr>
          <w:rFonts w:eastAsia="Tahoma" w:cs="Lohit Devanagari"/>
          <w:b/>
          <w:bCs/>
          <w:sz w:val="24"/>
          <w:szCs w:val="24"/>
        </w:rPr>
        <w:t xml:space="preserve">1.4.1. </w:t>
      </w:r>
      <w:r>
        <w:rPr>
          <w:b/>
          <w:bCs/>
          <w:sz w:val="24"/>
          <w:szCs w:val="24"/>
          <w:highlight w:val="white"/>
        </w:rPr>
        <w:t xml:space="preserve">Заказчик предоставит Подрядчику:</w:t>
      </w:r>
      <w:r>
        <w:rPr>
          <w:rFonts w:eastAsia="Tahoma" w:cs="Lohit Devanagari"/>
          <w:b/>
          <w:bCs/>
          <w:sz w:val="24"/>
          <w:szCs w:val="24"/>
        </w:rPr>
      </w:r>
      <w:r>
        <w:rPr>
          <w:rFonts w:eastAsia="Tahoma" w:cs="Lohit Devanagari"/>
          <w:b/>
          <w:bCs/>
          <w:sz w:val="24"/>
          <w:szCs w:val="24"/>
        </w:rPr>
      </w:r>
    </w:p>
    <w:p>
      <w:pPr>
        <w:ind w:left="0" w:right="0" w:firstLine="720"/>
        <w:jc w:val="both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ехническую и иную документацию, содержащую исходные данные для выполнения </w:t>
      </w:r>
      <w:r>
        <w:rPr>
          <w:sz w:val="24"/>
          <w:szCs w:val="24"/>
          <w:highlight w:val="white"/>
        </w:rPr>
        <w:t xml:space="preserve">Подрядчиком Работ</w:t>
      </w:r>
      <w:r>
        <w:rPr>
          <w:sz w:val="24"/>
          <w:szCs w:val="24"/>
          <w:highlight w:val="white"/>
        </w:rPr>
        <w:t xml:space="preserve"> (п</w:t>
      </w:r>
      <w:r>
        <w:rPr>
          <w:sz w:val="24"/>
          <w:szCs w:val="24"/>
          <w:highlight w:val="white"/>
        </w:rPr>
        <w:t xml:space="preserve">осле письменного запроса Подрядчика</w:t>
      </w:r>
      <w:r>
        <w:rPr>
          <w:sz w:val="24"/>
          <w:szCs w:val="24"/>
          <w:highlight w:val="white"/>
        </w:rPr>
        <w:t xml:space="preserve">);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/>
        <w:ind w:firstLine="567"/>
        <w:jc w:val="both"/>
        <w:spacing w:before="120" w:after="120" w:line="240" w:lineRule="auto"/>
        <w:widowControl w:val="off"/>
        <w:tabs>
          <w:tab w:val="left" w:pos="426" w:leader="none"/>
        </w:tabs>
        <w:rPr>
          <w:rFonts w:eastAsia="Tahoma" w:cs="Lohit Devanagari"/>
          <w:sz w:val="24"/>
          <w:szCs w:val="24"/>
        </w:rPr>
        <w:suppressLineNumbers w:val="0"/>
      </w:pPr>
      <w:r>
        <w:rPr>
          <w:rFonts w:eastAsia="Tahoma" w:cs="Lohit Devanagari"/>
          <w:sz w:val="24"/>
          <w:szCs w:val="24"/>
        </w:rPr>
      </w:r>
      <w:r>
        <w:rPr>
          <w:rFonts w:eastAsia="Tahoma" w:cs="Lohit Devanagari"/>
          <w:sz w:val="24"/>
          <w:szCs w:val="24"/>
        </w:rPr>
      </w:r>
      <w:r>
        <w:rPr>
          <w:rFonts w:eastAsia="Tahoma" w:cs="Lohit Devanagari"/>
          <w:sz w:val="24"/>
          <w:szCs w:val="24"/>
        </w:rPr>
      </w:r>
    </w:p>
    <w:p>
      <w:pPr>
        <w:ind w:left="0" w:right="0" w:firstLine="720"/>
        <w:jc w:val="both"/>
        <w:rPr>
          <w:rFonts w:eastAsia="Calibri"/>
          <w:sz w:val="24"/>
          <w:szCs w:val="24"/>
          <w:highlight w:val="none"/>
        </w:rPr>
        <w:suppressLineNumbers w:val="0"/>
      </w:pPr>
      <w:r>
        <w:rPr>
          <w:rFonts w:eastAsia="Calibri"/>
          <w:sz w:val="24"/>
          <w:szCs w:val="24"/>
        </w:rPr>
        <w:t xml:space="preserve">Для </w:t>
      </w:r>
      <w:r>
        <w:rPr>
          <w:rFonts w:eastAsia="Calibri"/>
          <w:sz w:val="24"/>
          <w:szCs w:val="24"/>
          <w:highlight w:val="none"/>
        </w:rPr>
        <w:t xml:space="preserve">выполнения работ Заказчиком предоставляются материальные ресурсы, приведенные в </w:t>
      </w:r>
      <w:r>
        <w:rPr>
          <w:rFonts w:eastAsia="Calibri"/>
          <w:sz w:val="24"/>
          <w:szCs w:val="24"/>
          <w:highlight w:val="none"/>
        </w:rPr>
        <w:t xml:space="preserve">Приложении № 4</w:t>
      </w:r>
      <w:r>
        <w:rPr>
          <w:rFonts w:eastAsia="Calibri"/>
          <w:sz w:val="24"/>
          <w:szCs w:val="24"/>
          <w:highlight w:val="none"/>
        </w:rPr>
        <w:t xml:space="preserve"> к настоящим ТТ.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20"/>
        <w:jc w:val="both"/>
        <w:rPr>
          <w:rFonts w:eastAsia="Calibri"/>
          <w:sz w:val="24"/>
          <w:szCs w:val="24"/>
          <w:highlight w:val="none"/>
        </w:rPr>
        <w:suppressLineNumbers w:val="0"/>
      </w:pPr>
      <w:r>
        <w:rPr>
          <w:rFonts w:eastAsia="Calibri"/>
          <w:sz w:val="24"/>
          <w:szCs w:val="24"/>
          <w:highlight w:val="none"/>
        </w:rPr>
        <w:t xml:space="preserve">Источник те</w:t>
      </w:r>
      <w:r>
        <w:rPr>
          <w:rFonts w:eastAsia="Calibri"/>
          <w:sz w:val="24"/>
          <w:szCs w:val="24"/>
          <w:highlight w:val="none"/>
        </w:rPr>
        <w:t xml:space="preserve">плоснабжения – </w:t>
      </w:r>
      <w:r>
        <w:rPr>
          <w:rFonts w:eastAsia="Calibri"/>
          <w:sz w:val="24"/>
          <w:szCs w:val="24"/>
          <w:highlight w:val="none"/>
        </w:rPr>
        <w:t xml:space="preserve">Хабаровская ТЭЦ-1</w:t>
      </w:r>
      <w:r>
        <w:rPr>
          <w:rFonts w:eastAsia="Calibri"/>
          <w:sz w:val="24"/>
          <w:szCs w:val="24"/>
          <w:highlight w:val="none"/>
        </w:rPr>
        <w:t xml:space="preserve">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20"/>
        <w:jc w:val="both"/>
        <w:rPr>
          <w:rFonts w:eastAsia="Calibri"/>
          <w:sz w:val="24"/>
          <w:szCs w:val="24"/>
        </w:rPr>
        <w:suppressLineNumbers w:val="0"/>
      </w:pPr>
      <w:r>
        <w:rPr>
          <w:rFonts w:eastAsia="Calibri"/>
          <w:sz w:val="24"/>
          <w:szCs w:val="24"/>
        </w:rPr>
        <w:t xml:space="preserve">Теплоноситель: вода с температурой 130-70 ºС.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567"/>
        <w:jc w:val="both"/>
        <w:spacing w:after="160" w:line="259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567"/>
        <w:jc w:val="both"/>
        <w:spacing w:after="160" w:line="259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3"/>
        <w:rPr>
          <w:sz w:val="24"/>
          <w:szCs w:val="24"/>
        </w:rPr>
      </w:pPr>
      <w:r>
        <w:rPr>
          <w:sz w:val="24"/>
          <w:szCs w:val="24"/>
        </w:rPr>
      </w:r>
      <w:bookmarkStart w:id="14" w:name="_Toc157784547"/>
      <w:r>
        <w:rPr>
          <w:sz w:val="24"/>
          <w:szCs w:val="24"/>
        </w:rPr>
        <w:t xml:space="preserve">2. Требования к продукции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4"/>
        <w:rPr>
          <w:sz w:val="24"/>
          <w:szCs w:val="24"/>
        </w:rPr>
      </w:pPr>
      <w:r>
        <w:rPr>
          <w:sz w:val="24"/>
          <w:szCs w:val="24"/>
        </w:rPr>
      </w:r>
      <w:bookmarkStart w:id="15" w:name="_Toc157784548"/>
      <w:r>
        <w:rPr>
          <w:sz w:val="24"/>
          <w:szCs w:val="24"/>
        </w:rPr>
        <w:t xml:space="preserve">2.1 Требования к объемам и срокам выполнения работ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rPr>
          <w:sz w:val="24"/>
          <w:szCs w:val="24"/>
        </w:rPr>
      </w:pPr>
      <w:r>
        <w:rPr>
          <w:sz w:val="24"/>
          <w:szCs w:val="24"/>
        </w:rPr>
      </w:r>
      <w:bookmarkStart w:id="16" w:name="_Toc54646405"/>
      <w:r>
        <w:rPr>
          <w:sz w:val="24"/>
          <w:szCs w:val="24"/>
        </w:rPr>
      </w:r>
      <w:bookmarkStart w:id="17" w:name="_Toc157784549"/>
      <w:r>
        <w:rPr>
          <w:sz w:val="24"/>
          <w:szCs w:val="24"/>
        </w:rPr>
        <w:t xml:space="preserve">2.1.1 Требования к видам и объемам работ</w:t>
      </w:r>
      <w:bookmarkEnd w:id="16"/>
      <w:r>
        <w:rPr>
          <w:sz w:val="24"/>
          <w:szCs w:val="24"/>
        </w:rPr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3"/>
        <w:rPr>
          <w:sz w:val="24"/>
        </w:rPr>
      </w:pPr>
      <w:r>
        <w:rPr>
          <w:sz w:val="24"/>
          <w:szCs w:val="24"/>
        </w:rPr>
      </w:r>
      <w:bookmarkStart w:id="18" w:name="_Toc157784550"/>
      <w:r>
        <w:rPr>
          <w:sz w:val="24"/>
        </w:rPr>
        <w:t xml:space="preserve">Таблица 2. Перечень и объем выполняемых работ</w:t>
      </w:r>
      <w:bookmarkEnd w:id="18"/>
      <w:r>
        <w:rPr>
          <w:sz w:val="24"/>
        </w:rPr>
      </w:r>
      <w:r>
        <w:rPr>
          <w:sz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29"/>
        <w:gridCol w:w="1559"/>
        <w:gridCol w:w="1872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72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030"/>
        </w:trPr>
        <w:tc>
          <w:tcPr>
            <w:tcW w:w="850" w:type="dxa"/>
            <w:textDirection w:val="lrTb"/>
            <w:noWrap w:val="false"/>
          </w:tcPr>
          <w:p>
            <w:pPr>
              <w:pStyle w:val="990"/>
              <w:numPr>
                <w:ilvl w:val="0"/>
                <w:numId w:val="5"/>
              </w:num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КПД 42.21.21. 000 Выполнение строительно-монтажных работ по объекту: "Строительство перемычки «Авангард» между магистралью ТМ-11 и магистралью «Горьковская»: строительство перемычки от узла 146.40 ул. Производственная до магистрали «Горьковская» (район ПНС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922) Ду= 1000 мм протяженностью L=3,5 х 2 км; реконструкция магистрали ТМ-11 на участках: от ПНС-111 до узла 145 ул. Производственная с  Ду=800/600 мм на Ду = 1000 мм, 1,622 х 2 км; от узла 145 ул. Производственная до узла 146.40 с Ду=400 мм на Ду = 1000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м, L=1,084 х 2 км" в рамках реализации инвестиционного проекта J_505-ХТСКх-76.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gridSpan w:val="2"/>
            <w:tcW w:w="3431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ведомостями объемов работ (Приложение № 2</w:t>
            </w:r>
            <w:r>
              <w:rPr>
                <w:sz w:val="24"/>
                <w:szCs w:val="24"/>
              </w:rPr>
              <w:t xml:space="preserve"> к настоящим ТТ)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rFonts w:eastAsia="Calibri"/>
                <w:sz w:val="24"/>
                <w:szCs w:val="24"/>
                <w:highlight w:val="yellow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yellow"/>
              </w:rPr>
            </w:r>
            <w:r>
              <w:rPr>
                <w:rFonts w:eastAsia="Calibri"/>
                <w:sz w:val="24"/>
                <w:szCs w:val="24"/>
                <w:highlight w:val="yellow"/>
              </w:rPr>
            </w:r>
          </w:p>
        </w:tc>
      </w:tr>
    </w:tbl>
    <w:p>
      <w:pPr>
        <w:pStyle w:val="990"/>
        <w:ind w:left="0"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15"/>
        <w:rPr>
          <w:sz w:val="24"/>
          <w:szCs w:val="24"/>
        </w:rPr>
      </w:pPr>
      <w:r>
        <w:rPr>
          <w:sz w:val="24"/>
          <w:szCs w:val="24"/>
        </w:rPr>
      </w:r>
      <w:bookmarkStart w:id="19" w:name="_Toc157784551"/>
      <w:r>
        <w:rPr>
          <w:sz w:val="24"/>
          <w:szCs w:val="24"/>
        </w:rPr>
        <w:t xml:space="preserve">2.1.2 Требования к срокам выполнения работ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3"/>
        <w:rPr>
          <w:sz w:val="24"/>
        </w:rPr>
      </w:pPr>
      <w:r>
        <w:rPr>
          <w:sz w:val="24"/>
          <w:szCs w:val="24"/>
        </w:rPr>
      </w:r>
      <w:bookmarkStart w:id="20" w:name="_Toc50125127"/>
      <w:r>
        <w:rPr>
          <w:sz w:val="24"/>
          <w:szCs w:val="24"/>
        </w:rPr>
      </w:r>
      <w:bookmarkStart w:id="21" w:name="_Toc51339697"/>
      <w:r>
        <w:rPr>
          <w:sz w:val="24"/>
          <w:szCs w:val="24"/>
        </w:rPr>
      </w:r>
      <w:bookmarkStart w:id="22" w:name="_Toc54646408"/>
      <w:r>
        <w:rPr>
          <w:sz w:val="24"/>
          <w:szCs w:val="24"/>
        </w:rPr>
      </w:r>
      <w:bookmarkStart w:id="23" w:name="_Toc157784552"/>
      <w:r>
        <w:rPr>
          <w:sz w:val="24"/>
        </w:rPr>
        <w:t xml:space="preserve">Таблица 3. </w:t>
      </w:r>
      <w:bookmarkStart w:id="24" w:name="_Hlk50465284"/>
      <w:r>
        <w:rPr>
          <w:sz w:val="24"/>
        </w:rPr>
        <w:t xml:space="preserve">Требования по срокам </w:t>
      </w:r>
      <w:bookmarkEnd w:id="20"/>
      <w:r>
        <w:rPr>
          <w:sz w:val="24"/>
          <w:szCs w:val="24"/>
        </w:rPr>
      </w:r>
      <w:bookmarkEnd w:id="21"/>
      <w:r>
        <w:rPr>
          <w:sz w:val="24"/>
          <w:szCs w:val="24"/>
        </w:rPr>
      </w:r>
      <w:bookmarkEnd w:id="24"/>
      <w:r>
        <w:rPr>
          <w:sz w:val="24"/>
        </w:rPr>
        <w:t xml:space="preserve">выполнения работ</w:t>
      </w:r>
      <w:bookmarkEnd w:id="22"/>
      <w:r>
        <w:rPr>
          <w:sz w:val="24"/>
          <w:szCs w:val="24"/>
        </w:rPr>
      </w:r>
      <w:bookmarkEnd w:id="23"/>
      <w:r>
        <w:rPr>
          <w:sz w:val="24"/>
        </w:rPr>
      </w:r>
      <w:r>
        <w:rPr>
          <w:sz w:val="24"/>
        </w:rPr>
      </w:r>
    </w:p>
    <w:tbl>
      <w:tblPr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40"/>
        <w:gridCol w:w="1701"/>
        <w:gridCol w:w="1702"/>
      </w:tblGrid>
      <w:tr>
        <w:tblPrEx/>
        <w:trPr/>
        <w:tc>
          <w:tcPr>
            <w:shd w:val="clear" w:color="auto" w:fill="auto"/>
            <w:tcW w:w="73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64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5640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ind w:left="57" w:right="57" w:firstLine="0"/>
              <w:jc w:val="center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ind w:left="57" w:right="57" w:firstLine="0"/>
              <w:jc w:val="center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99"/>
        </w:trPr>
        <w:tc>
          <w:tcPr>
            <w:shd w:val="clear" w:color="auto" w:fill="auto"/>
            <w:tcBorders>
              <w:bottom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contextualSpacing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5640" w:type="dxa"/>
            <w:textDirection w:val="lrTb"/>
            <w:noWrap w:val="false"/>
          </w:tcPr>
          <w:p>
            <w:pPr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КПД 42.21.21. 000 Выполнение строительно-монтажных работ по объекту: "Строительство перемычки «Авангард» между магистралью ТМ-11 и магистралью «Горьковская»: строительство перемычки от узла 146.40 ул. Производственная до магистрали «Горьковская» (район ПНС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922) Ду= 1000 мм протяженностью L=3,5 х 2 км; реконструкция магистрали ТМ-11 на участках: от ПНС-111 до узла 145 ул. Производственная с  Ду=800/600 мм на Ду = 1000 мм, 1,622 х 2 км; от узла 145 ул. Производственная до узла 146.40 с Ду=400 мм на Ду = 1000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м, L=1,084 х 2 км" в рамках реализации инвестиционного проекта J_505-ХТСКх-76.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с даты заключения договора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eastAsia="Calibri"/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  <w:t xml:space="preserve">31.10.2026 </w:t>
            </w:r>
            <w:r>
              <w:rPr>
                <w:bCs/>
                <w:sz w:val="24"/>
                <w:szCs w:val="24"/>
                <w:highlight w:val="white"/>
              </w:rPr>
              <w:t xml:space="preserve">г.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  <w:t xml:space="preserve">*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</w:p>
        </w:tc>
      </w:tr>
    </w:tbl>
    <w:p>
      <w:pPr>
        <w:pStyle w:val="990"/>
        <w:ind w:left="1614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spacing w:line="360" w:lineRule="auto"/>
        <w:rPr>
          <w:sz w:val="24"/>
          <w:szCs w:val="24"/>
        </w:rPr>
      </w:pPr>
      <w:r>
        <w:rPr>
          <w:i/>
          <w:sz w:val="24"/>
          <w:szCs w:val="24"/>
        </w:rPr>
        <w:t xml:space="preserve">*Увеличение срока окончания работ не допускается, так как указание конкретного срока завершения работ вызвано необходимостью полного выполнения работ и сдачи теплосетевого объек</w:t>
      </w:r>
      <w:r>
        <w:rPr>
          <w:i/>
          <w:sz w:val="24"/>
          <w:szCs w:val="24"/>
        </w:rPr>
        <w:t xml:space="preserve">та в эксплуатацию и представителям надзорных органов со стороны администрации г. Хабаровска в указанный период, во избежание рисков срыва начала отопительного сезона и получения паспорта готовности предприятия к прохождению осенне-зимнего периода нагрузок.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 w:hanging="567"/>
        <w:spacing w:line="360" w:lineRule="auto"/>
        <w:rPr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 w:hanging="567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 w:hanging="567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4"/>
        <w:rPr>
          <w:sz w:val="24"/>
          <w:szCs w:val="24"/>
        </w:rPr>
      </w:pPr>
      <w:r>
        <w:rPr>
          <w:sz w:val="24"/>
          <w:szCs w:val="24"/>
        </w:rPr>
      </w:r>
      <w:bookmarkStart w:id="25" w:name="_Toc157784553"/>
      <w:r>
        <w:rPr>
          <w:sz w:val="24"/>
          <w:szCs w:val="24"/>
        </w:rPr>
        <w:t xml:space="preserve">2.2 Требования к качеству работ</w:t>
      </w:r>
      <w:bookmarkEnd w:id="2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3"/>
        <w:rPr>
          <w:sz w:val="24"/>
        </w:rPr>
      </w:pPr>
      <w:r>
        <w:rPr>
          <w:sz w:val="24"/>
          <w:szCs w:val="24"/>
        </w:rPr>
      </w:r>
      <w:bookmarkStart w:id="26" w:name="_Toc157784554"/>
      <w:r>
        <w:rPr>
          <w:sz w:val="24"/>
        </w:rPr>
        <w:t xml:space="preserve">Таблица 4. Требования к качеству работ</w:t>
      </w:r>
      <w:bookmarkEnd w:id="26"/>
      <w:r>
        <w:rPr>
          <w:sz w:val="24"/>
        </w:rPr>
      </w:r>
      <w:r>
        <w:rPr>
          <w:sz w:val="24"/>
        </w:rPr>
      </w:r>
    </w:p>
    <w:p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ведомостями объемов работ (Приложение № 2</w:t>
      </w:r>
      <w:r>
        <w:rPr>
          <w:sz w:val="24"/>
          <w:szCs w:val="24"/>
        </w:rPr>
        <w:t xml:space="preserve"> к настоящим ТТ)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tabs>
          <w:tab w:val="left" w:pos="300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023"/>
        <w:tblW w:w="15029" w:type="dxa"/>
        <w:tblInd w:w="-5" w:type="dxa"/>
        <w:tblLayout w:type="fixed"/>
        <w:tblLook w:val="05A0" w:firstRow="1" w:lastRow="0" w:firstColumn="1" w:lastColumn="1" w:noHBand="0" w:noVBand="1"/>
      </w:tblPr>
      <w:tblGrid>
        <w:gridCol w:w="963"/>
        <w:gridCol w:w="2562"/>
        <w:gridCol w:w="6793"/>
        <w:gridCol w:w="2551"/>
        <w:gridCol w:w="2160"/>
      </w:tblGrid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6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79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517"/>
        </w:trPr>
        <w:tc>
          <w:tcPr>
            <w:tcW w:w="96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6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679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6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contextualSpacing/>
              <w:ind w:left="289" w:right="0" w:hanging="6"/>
              <w:jc w:val="left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выполнению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60" w:type="dxa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2"/>
              </w:numPr>
              <w:contextualSpacing/>
              <w:ind w:left="142" w:right="0" w:firstLine="0"/>
              <w:jc w:val="right"/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vAlign w:val="center"/>
            <w:textDirection w:val="lrTb"/>
            <w:noWrap w:val="false"/>
          </w:tcPr>
          <w:p>
            <w:pPr>
              <w:ind w:firstLine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160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jc w:val="left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793" w:type="dxa"/>
            <w:textDirection w:val="lrTb"/>
            <w:noWrap w:val="false"/>
          </w:tcPr>
          <w:p>
            <w:pPr>
              <w:ind w:left="0" w:right="0" w:firstLine="283"/>
              <w:jc w:val="both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709" w:leader="none"/>
              </w:tabs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СП 74.13330.2023. «Свод правил. Тепловые сети. СНиП 3.05.03-85» (утв. и введен в действие Приказом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 Минстроя России от 19.12.2023 №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 947/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пр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);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ind w:left="0" w:right="0" w:firstLine="283"/>
              <w:jc w:val="both"/>
              <w:spacing w:before="0" w:after="300" w:line="240" w:lineRule="auto"/>
              <w:shd w:val="clear" w:color="ffffff" w:fill="ffffff"/>
              <w:tabs>
                <w:tab w:val="left" w:pos="709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Правила технической эксплуатации объектов теплоснабжения и теплопотребляющих установок (у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тв. приказом Минэнерго России от 14 мая 2025 г. № 511);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widowControl w:val="off"/>
              <w:tabs>
                <w:tab w:val="left" w:pos="709" w:leader="none"/>
              </w:tabs>
              <w:rPr>
                <w:i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С</w:t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П 78.13330.2012. Свод пр</w:t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авил. Автомобильные дороги. Актуализированная редакция СНиП 3.06.03-85 (утв. Приказом </w:t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Минрегиона</w:t>
            </w: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 России от 30.06.2012 № 272) с изм. №1 от 17.06.2017, с изм.№2 от 20.11.2021;</w:t>
            </w:r>
            <w:r>
              <w:rPr>
                <w:i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i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РД 03-615-03 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(утв. Госгортехнадзором России,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19.06.2003);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РД 03-614-03 «Порядок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объектов» (утв. Госгортехнадзором России, 19.06.2003);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Федеральные нормы и правила в области промышленной безопасности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Требования к производству сварочных работ на опасных производственных объектах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 (утв. приказом Ростехнадзора от 11.12.2020 № 519);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Правилами благоустройства городского округа «Город Хабаровск» № 677 от 17 октября 2017 г. (утв. Решением Хабаровской городской думы от 27.12.2022г. № 1115). 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ind w:left="0" w:right="0" w:firstLine="283"/>
              <w:jc w:val="both"/>
              <w:spacing w:line="240" w:lineRule="auto"/>
              <w:widowControl w:val="off"/>
              <w:tabs>
                <w:tab w:val="left" w:pos="709" w:leader="none"/>
              </w:tabs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highlight w:val="white"/>
              </w:rPr>
              <w:t xml:space="preserve">СП 45.13330.2017 Свод правил. Земляные сооружения, основания и фундаменты. Актуализированная редакция СНиП 3.02.01-87 (ред. 20.11.2019);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709" w:leader="none"/>
              </w:tabs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Положение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г. АО «ДГК»;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709" w:leader="none"/>
              </w:tabs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СП 68.13330.2017 «Приемка в эксплуатацию законченных строительством объектов. Основные положения» (утв. Приказом Министерства строительства и жилищно-коммунального хозяйства Российской Федерации, от 27.07.2017 № 1033/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пр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);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709" w:leader="none"/>
              </w:tabs>
              <w:rPr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СП 72.13330.2016 «СНиП 3.04.03-85 Защита строительных конструкций и сооружений от коррозии» (Приказ Минстроя России от 16 декабря 2016 г. № 965/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пр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);</w:t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90"/>
              <w:numPr>
                <w:ilvl w:val="0"/>
                <w:numId w:val="60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709" w:leader="none"/>
              </w:tabs>
              <w:rPr>
                <w:color w:val="ff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СП 71.13330.2017 «Изоляционные и отделочные покрытия» Актуализированная редакция СНиП 3.04.01-87 (с Изменением № 1) ред. от 17.12.2021.</w:t>
            </w:r>
            <w:r>
              <w:rPr>
                <w:color w:val="ff0000" w:themeColor="text1"/>
                <w:sz w:val="24"/>
                <w:szCs w:val="24"/>
                <w:highlight w:val="white"/>
              </w:rPr>
            </w:r>
            <w:r>
              <w:rPr>
                <w:color w:val="ff0000" w:themeColor="text1"/>
                <w:sz w:val="24"/>
                <w:szCs w:val="24"/>
                <w:highlight w:val="white"/>
              </w:rPr>
            </w:r>
          </w:p>
          <w:p>
            <w:pPr>
              <w:pStyle w:val="812"/>
              <w:ind w:firstLine="283"/>
              <w:jc w:val="both"/>
              <w:spacing w:before="0" w:after="0" w:line="240" w:lineRule="auto"/>
              <w:widowControl/>
              <w:rPr>
                <w:bCs/>
                <w:szCs w:val="24"/>
                <w:highlight w:val="white"/>
              </w:rPr>
            </w:pPr>
            <w:r>
              <w:rPr>
                <w:bCs/>
                <w:szCs w:val="24"/>
                <w:highlight w:val="white"/>
                <w:lang w:val="ru-RU" w:bidi="ar-SA"/>
              </w:rPr>
              <w:t xml:space="preserve">В случае если какой-либо из указанных в настоящей Ведомости ГОСТов или нормативных документов были отменены в связи с выпуском новой редакции стандарта, то необходимо применять ГОСТ или нормативный документ, принятый в его развитие</w:t>
            </w:r>
            <w:r>
              <w:rPr>
                <w:bCs/>
                <w:szCs w:val="24"/>
                <w:highlight w:val="white"/>
              </w:rPr>
            </w:r>
            <w:r>
              <w:rPr>
                <w:bCs/>
                <w:szCs w:val="24"/>
                <w:highlight w:val="white"/>
              </w:rPr>
            </w:r>
          </w:p>
          <w:p>
            <w:pPr>
              <w:ind w:left="0" w:right="0" w:firstLine="283"/>
              <w:jc w:val="both"/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tcBorders>
              <w:bottom w:val="single" w:color="auto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2"/>
              </w:numPr>
              <w:contextualSpacing/>
              <w:ind w:left="142" w:right="0" w:firstLine="0"/>
              <w:jc w:val="right"/>
              <w:spacing w:before="60" w:after="6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vAlign w:val="center"/>
            <w:textDirection w:val="lrTb"/>
            <w:noWrap w:val="false"/>
          </w:tcPr>
          <w:p>
            <w:pPr>
              <w:ind w:firstLine="0"/>
              <w:spacing w:before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организации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1.2.1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562" w:type="dxa"/>
            <w:textDirection w:val="lrTb"/>
            <w:noWrap w:val="false"/>
          </w:tcPr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793" w:type="dxa"/>
            <w:textDirection w:val="lrTb"/>
            <w:noWrap w:val="false"/>
          </w:tcPr>
          <w:p>
            <w:pPr>
              <w:ind w:left="0" w:right="0" w:firstLine="283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Допуск персонала подрядчика для выполнения работ должен осуществляться в соответствии с Положением о допуске персонала подрядных организаций к выполнению работ на объектах АО «ДГК»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22.1-504-2025 утв. Приказом АО «ДГК» от 25.09.2025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П-ДГК/795 (Приложение № 6 к настоящим ТТ) с обязательным оформлением необходимых нарядов-допусков.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Подготовку рабочих мест и допуск к выполнению работ выполняет персонал Заказчика.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auto" w:sz="4" w:space="0"/>
              <w:bottom w:val="none" w:color="000000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4"/>
                <w:szCs w:val="24"/>
                <w:highlight w:val="green"/>
              </w:rPr>
            </w:pPr>
            <w:r>
              <w:rPr>
                <w:rFonts w:eastAsia="Calibri"/>
                <w:sz w:val="24"/>
                <w:szCs w:val="24"/>
              </w:rPr>
              <w:t xml:space="preserve">1.2.2</w:t>
            </w:r>
            <w:r>
              <w:rPr>
                <w:rFonts w:eastAsia="Calibri"/>
                <w:sz w:val="24"/>
                <w:szCs w:val="24"/>
                <w:highlight w:val="green"/>
              </w:rPr>
            </w:r>
            <w:r>
              <w:rPr>
                <w:rFonts w:eastAsia="Calibri"/>
                <w:sz w:val="24"/>
                <w:szCs w:val="24"/>
                <w:highlight w:val="green"/>
              </w:rPr>
            </w:r>
          </w:p>
        </w:tc>
        <w:tc>
          <w:tcPr>
            <w:tcW w:w="2562" w:type="dxa"/>
            <w:vMerge w:val="restart"/>
            <w:textDirection w:val="lrTb"/>
            <w:noWrap w:val="false"/>
          </w:tcPr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Требования к организации процесса выполнения работ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tcBorders>
              <w:bottom w:val="single" w:color="auto" w:sz="4" w:space="0"/>
            </w:tcBorders>
            <w:tcW w:w="6793" w:type="dxa"/>
            <w:textDirection w:val="lrTb"/>
            <w:noWrap w:val="false"/>
          </w:tcPr>
          <w:p>
            <w:pPr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Комплекс организационно–технических мероприятий, выполняе</w:t>
            </w:r>
            <w:r>
              <w:rPr>
                <w:sz w:val="24"/>
                <w:szCs w:val="24"/>
              </w:rPr>
              <w:t xml:space="preserve">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работ, оптимальное расходование материально-технических и трудовые ресурсов.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</w:rPr>
              <w:t xml:space="preserve">Изменения объемов работ, предусмотренных ведомостью объемов работ, оформляются в соответствии с требованиями Правил </w:t>
            </w:r>
            <w:r>
              <w:rPr>
                <w:sz w:val="24"/>
                <w:szCs w:val="24"/>
              </w:rPr>
              <w:t xml:space="preserve">ТОиР</w:t>
            </w:r>
            <w:r>
              <w:rPr>
                <w:sz w:val="24"/>
                <w:szCs w:val="24"/>
              </w:rPr>
              <w:t xml:space="preserve"> (ведомостью дополнительных работ по ремонту и протоколом исключения работ из ведомости объемов работ по ремонту), согласовываются с исполнителями и утверждаются техническим руководителем структурного подразделения, </w:t>
            </w:r>
            <w:r>
              <w:rPr>
                <w:sz w:val="24"/>
                <w:szCs w:val="24"/>
              </w:rPr>
              <w:t xml:space="preserve">ответственного за непосредственную эксплуатацию производственного объекта. Перечень, форма и сроки передачи ремонтной документации определяется условиями Договора.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ind w:firstLine="0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02"/>
        </w:trPr>
        <w:tc>
          <w:tcPr>
            <w:tcBorders>
              <w:top w:val="none" w:color="000000" w:sz="4" w:space="0"/>
              <w:bottom w:val="single" w:color="000000" w:sz="4" w:space="0"/>
            </w:tcBorders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2"/>
                <w:numId w:val="32"/>
              </w:numPr>
              <w:contextualSpacing/>
              <w:ind w:firstLine="0"/>
              <w:jc w:val="center"/>
              <w:spacing w:before="60" w:after="60" w:line="276" w:lineRule="auto"/>
              <w:rPr>
                <w:rFonts w:eastAsia="Calibri"/>
                <w:sz w:val="24"/>
                <w:szCs w:val="24"/>
                <w:highlight w:val="green"/>
              </w:rPr>
            </w:pPr>
            <w:r>
              <w:rPr>
                <w:rFonts w:eastAsia="Calibri"/>
                <w:sz w:val="24"/>
                <w:szCs w:val="24"/>
                <w:highlight w:val="green"/>
              </w:rPr>
            </w:r>
            <w:r>
              <w:rPr>
                <w:rFonts w:eastAsia="Calibri"/>
                <w:sz w:val="24"/>
                <w:szCs w:val="24"/>
                <w:highlight w:val="green"/>
              </w:rPr>
            </w:r>
            <w:r>
              <w:rPr>
                <w:rFonts w:eastAsia="Calibri"/>
                <w:sz w:val="24"/>
                <w:szCs w:val="24"/>
                <w:highlight w:val="green"/>
              </w:rPr>
            </w:r>
          </w:p>
        </w:tc>
        <w:tc>
          <w:tcPr>
            <w:tcW w:w="2562" w:type="dxa"/>
            <w:vMerge w:val="continue"/>
            <w:textDirection w:val="lrTb"/>
            <w:noWrap w:val="false"/>
          </w:tcPr>
          <w:p>
            <w:pPr>
              <w:ind w:firstLine="0"/>
              <w:spacing w:before="60"/>
              <w:widowControl w:val="off"/>
              <w:tabs>
                <w:tab w:val="left" w:pos="426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6793" w:type="dxa"/>
            <w:textDirection w:val="lrTb"/>
            <w:noWrap w:val="false"/>
          </w:tcPr>
          <w:p>
            <w:pPr>
              <w:ind w:left="0" w:right="0" w:firstLine="283"/>
              <w:jc w:val="both"/>
              <w:spacing w:line="240" w:lineRule="auto"/>
              <w:shd w:val="clear" w:color="auto" w:fill="ffffff"/>
              <w:tabs>
                <w:tab w:val="left" w:pos="1276" w:leader="none"/>
                <w:tab w:val="left" w:pos="1418" w:leader="none"/>
              </w:tabs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В</w:t>
            </w:r>
            <w:r>
              <w:rPr>
                <w:sz w:val="24"/>
                <w:szCs w:val="24"/>
                <w:highlight w:val="white"/>
              </w:rPr>
              <w:t xml:space="preserve"> течение 5 (пяти) календарных дней с даты заключения Договора предоставить Заказчику на согласование Проект Производства Работ (ППР) с указанием общих методов и технологии работ, организационных вопросов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4" w:space="0"/>
              <w:bottom w:val="none" w:color="000000" w:sz="4" w:space="0"/>
            </w:tcBorders>
            <w:tcW w:w="963" w:type="dxa"/>
            <w:vAlign w:val="center"/>
            <w:vMerge w:val="continue"/>
            <w:textDirection w:val="lrTb"/>
            <w:noWrap w:val="false"/>
          </w:tcPr>
          <w:p>
            <w:pPr>
              <w:numPr>
                <w:ilvl w:val="2"/>
                <w:numId w:val="32"/>
              </w:numPr>
              <w:contextualSpacing/>
              <w:ind w:firstLine="0"/>
              <w:jc w:val="center"/>
              <w:spacing w:before="60" w:after="60" w:line="276" w:lineRule="auto"/>
              <w:rPr>
                <w:rFonts w:eastAsia="Calibri"/>
                <w:sz w:val="24"/>
                <w:szCs w:val="24"/>
                <w:highlight w:val="green"/>
              </w:rPr>
            </w:pPr>
            <w:r>
              <w:rPr>
                <w:rFonts w:eastAsia="Calibri"/>
                <w:sz w:val="24"/>
                <w:szCs w:val="24"/>
                <w:highlight w:val="green"/>
              </w:rPr>
            </w:r>
            <w:r>
              <w:rPr>
                <w:rFonts w:eastAsia="Calibri"/>
                <w:sz w:val="24"/>
                <w:szCs w:val="24"/>
                <w:highlight w:val="green"/>
              </w:rPr>
            </w:r>
            <w:r>
              <w:rPr>
                <w:rFonts w:eastAsia="Calibri"/>
                <w:sz w:val="24"/>
                <w:szCs w:val="24"/>
                <w:highlight w:val="green"/>
              </w:rPr>
            </w:r>
          </w:p>
        </w:tc>
        <w:tc>
          <w:tcPr>
            <w:tcW w:w="2562" w:type="dxa"/>
            <w:vMerge w:val="continue"/>
            <w:textDirection w:val="lrTb"/>
            <w:noWrap w:val="false"/>
          </w:tcPr>
          <w:p>
            <w:pPr>
              <w:ind w:firstLine="0"/>
              <w:spacing w:before="60"/>
              <w:widowControl w:val="off"/>
              <w:tabs>
                <w:tab w:val="left" w:pos="426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6793" w:type="dxa"/>
            <w:vMerge w:val="restart"/>
            <w:textDirection w:val="lrTb"/>
            <w:noWrap w:val="false"/>
          </w:tcPr>
          <w:p>
            <w:pPr>
              <w:ind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Обеспечить наличие у Подрядчик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а свидетельств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о готовности организации к применению аттестованной технологии сварки, свидетельства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об аттестации сварочного оборудования и сварочных материалов (в соответствии с требованиями РД 03-615-03, РД 03-614-03, Приказа 519 от 11.12.2020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Ростехнадзора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) с предоставлением до начала работ: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1. копии свидетельств об аттестации технологии сварки (группа технических устройств ОПО: котельное оборудование (КО 2); строительные конструкции (СК1-3)); 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копию свидетельства об аттестации сварочного оборудования (группа технических устройств ОПО: котельное оборудование (КО 2); строительные конструкции (СК1-3));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3.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копию свидетельства об аттестации сварочных материалов (группа технических устройств ОПО: котельное оборудование (КО 2); строительные конструкции (СК1-3));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4.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копию свидетельства об аттестации лаборатории неразрушающего контроля по сварным соединениям;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(При отсутствии своей лаборатории - копию действующего договора со сторонней аттестованной лабораторией неразрушающего контроля);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ind w:firstLine="0"/>
              <w:jc w:val="both"/>
              <w:spacing w:before="0" w:after="0" w:line="240" w:lineRule="auto"/>
              <w:shd w:val="clear" w:color="auto" w:fill="ffffff"/>
              <w:widowControl/>
              <w:tabs>
                <w:tab w:val="clear" w:pos="709" w:leader="none"/>
                <w:tab w:val="left" w:pos="1276" w:leader="none"/>
                <w:tab w:val="left" w:pos="1418" w:leader="none"/>
              </w:tabs>
              <w:rPr>
                <w:color w:val="000000" w:themeColor="text1"/>
                <w:highlight w:val="white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5.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копии действующих свидетельств о поверке приборов неразрушающего контроля, которые будут использованы для выполнения объемов работ.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32"/>
              </w:numPr>
              <w:contextualSpacing/>
              <w:ind w:firstLine="0"/>
              <w:jc w:val="center"/>
              <w:spacing w:before="60" w:after="60" w:line="276" w:lineRule="auto"/>
              <w:rPr>
                <w:rFonts w:eastAsia="Calibri"/>
                <w:sz w:val="24"/>
                <w:szCs w:val="24"/>
                <w:highlight w:val="green"/>
              </w:rPr>
            </w:pPr>
            <w:r>
              <w:rPr>
                <w:rFonts w:eastAsia="Calibri"/>
                <w:sz w:val="24"/>
                <w:szCs w:val="24"/>
                <w:highlight w:val="green"/>
              </w:rPr>
            </w:r>
            <w:r>
              <w:rPr>
                <w:rFonts w:eastAsia="Calibri"/>
                <w:sz w:val="24"/>
                <w:szCs w:val="24"/>
                <w:highlight w:val="green"/>
              </w:rPr>
            </w:r>
            <w:r>
              <w:rPr>
                <w:rFonts w:eastAsia="Calibri"/>
                <w:sz w:val="24"/>
                <w:szCs w:val="24"/>
                <w:highlight w:val="green"/>
              </w:rPr>
            </w:r>
          </w:p>
        </w:tc>
        <w:tc>
          <w:tcPr>
            <w:tcW w:w="2562" w:type="dxa"/>
            <w:vMerge w:val="continue"/>
            <w:textDirection w:val="lrTb"/>
            <w:noWrap w:val="false"/>
          </w:tcPr>
          <w:p>
            <w:pPr>
              <w:ind w:firstLine="0"/>
              <w:spacing w:before="60"/>
              <w:widowControl w:val="off"/>
              <w:tabs>
                <w:tab w:val="left" w:pos="426" w:leader="none"/>
              </w:tabs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6793" w:type="dxa"/>
            <w:textDirection w:val="lrTb"/>
            <w:noWrap w:val="false"/>
          </w:tcPr>
          <w:p>
            <w:pPr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</w:rPr>
              <w:t xml:space="preserve">Также Подрядчик должен выполнить утилизацию строительного мусора с предоставлением отчетных документов.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04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2"/>
              </w:numPr>
              <w:contextualSpacing/>
              <w:ind w:left="142" w:right="0" w:firstLine="0"/>
              <w:jc w:val="center"/>
              <w:spacing w:before="60" w:after="60" w:line="276" w:lineRule="auto"/>
              <w:rPr>
                <w:rFonts w:eastAsia="Calibri"/>
                <w:color w:val="ff0000"/>
                <w:sz w:val="24"/>
                <w:szCs w:val="24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</w:r>
            <w:r>
              <w:rPr>
                <w:rFonts w:eastAsia="Calibri"/>
                <w:color w:val="ff0000"/>
                <w:sz w:val="24"/>
                <w:szCs w:val="24"/>
              </w:rPr>
            </w:r>
            <w:r>
              <w:rPr>
                <w:rFonts w:eastAsia="Calibri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 xml:space="preserve">используемым материалам, </w:t>
            </w:r>
            <w:r>
              <w:rPr>
                <w:b/>
                <w:sz w:val="24"/>
                <w:szCs w:val="24"/>
              </w:rPr>
              <w:t xml:space="preserve">контролю качества работ и </w:t>
            </w:r>
            <w:r>
              <w:rPr>
                <w:b/>
                <w:sz w:val="24"/>
                <w:szCs w:val="24"/>
              </w:rPr>
              <w:t xml:space="preserve">материалов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</w:r>
            <w:r>
              <w:rPr>
                <w:b/>
                <w:color w:val="ff0000"/>
                <w:sz w:val="24"/>
                <w:szCs w:val="24"/>
              </w:rPr>
            </w:r>
            <w:r>
              <w:rPr>
                <w:b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1.3.1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562" w:type="dxa"/>
            <w:textDirection w:val="lrTb"/>
            <w:noWrap w:val="false"/>
          </w:tcPr>
          <w:p>
            <w:pPr>
              <w:ind w:firstLine="0"/>
              <w:jc w:val="left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Требования к используемым </w:t>
            </w:r>
            <w:r>
              <w:rPr>
                <w:i w:val="0"/>
                <w:iCs w:val="0"/>
                <w:sz w:val="24"/>
                <w:szCs w:val="24"/>
              </w:rPr>
              <w:t xml:space="preserve">МТР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  <w:i w:val="0"/>
                <w:iCs w:val="0"/>
                <w:color w:val="ff000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bCs/>
                <w:i w:val="0"/>
                <w:iCs w:val="0"/>
                <w:color w:val="ff0000"/>
                <w:sz w:val="24"/>
                <w:szCs w:val="24"/>
              </w:rPr>
            </w:r>
            <w:r>
              <w:rPr>
                <w:bCs/>
                <w:i w:val="0"/>
                <w:iCs w:val="0"/>
                <w:color w:val="ff0000"/>
                <w:sz w:val="24"/>
                <w:szCs w:val="24"/>
              </w:rPr>
            </w:r>
          </w:p>
        </w:tc>
        <w:tc>
          <w:tcPr>
            <w:tcW w:w="6793" w:type="dxa"/>
            <w:textDirection w:val="lrTb"/>
            <w:noWrap w:val="false"/>
          </w:tcPr>
          <w:p>
            <w:pPr>
              <w:ind w:left="0" w:right="0" w:firstLine="283"/>
              <w:jc w:val="both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Материалы, необходимые для выполнения работ, приобретаются Подрядчиком самостоятельно в соответствии с </w:t>
            </w:r>
            <w:r>
              <w:rPr>
                <w:sz w:val="24"/>
                <w:szCs w:val="24"/>
              </w:rPr>
              <w:t xml:space="preserve">Постановлением Правительства Российской Федерации от 23 декабря 2</w:t>
            </w:r>
            <w:r>
              <w:rPr>
                <w:sz w:val="24"/>
                <w:szCs w:val="24"/>
              </w:rPr>
              <w:t xml:space="preserve">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а также согласно Приложени</w:t>
            </w:r>
            <w:r>
              <w:rPr>
                <w:bCs/>
                <w:sz w:val="24"/>
                <w:szCs w:val="24"/>
              </w:rPr>
              <w:t xml:space="preserve">ю № 3 к настоящим Техническим требованиям.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применяемые материалы должны быть новыми и не использованными ранее, без повреждений.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одрядчиком в работе могут быть применены эквивалентные материалы*, которые должны быт</w:t>
            </w:r>
            <w:r>
              <w:rPr>
                <w:sz w:val="24"/>
                <w:szCs w:val="24"/>
                <w:highlight w:val="white"/>
              </w:rPr>
              <w:t xml:space="preserve">ь предварительно согласова</w:t>
            </w:r>
            <w:r>
              <w:rPr>
                <w:sz w:val="24"/>
                <w:szCs w:val="24"/>
                <w:highlight w:val="white"/>
              </w:rPr>
              <w:t xml:space="preserve">ны с Заказчиком письменно.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both"/>
              <w:spacing w:line="240" w:lineRule="auto"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</w:t>
            </w:r>
            <w:r>
              <w:rPr>
                <w:szCs w:val="24"/>
                <w:highlight w:val="white"/>
                <w:lang w:val="ru-RU" w:bidi="ar-SA"/>
              </w:rPr>
              <w:t xml:space="preserve">Ведомости материалов предоставляемых Подрядчиком</w:t>
            </w:r>
            <w:r>
              <w:rPr>
                <w:szCs w:val="24"/>
                <w:highlight w:val="white"/>
                <w:lang w:val="ru-RU" w:bidi="ar-SA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(Приложение № 3 к настоящим ТТ), а также</w:t>
            </w:r>
            <w:r>
              <w:rPr>
                <w:sz w:val="24"/>
                <w:szCs w:val="24"/>
                <w:highlight w:val="white"/>
              </w:rPr>
              <w:t xml:space="preserve"> Ведомости объемов работ (Приложение № 2</w:t>
            </w:r>
            <w:r>
              <w:rPr>
                <w:sz w:val="24"/>
                <w:szCs w:val="24"/>
                <w:highlight w:val="white"/>
              </w:rPr>
              <w:t xml:space="preserve"> к настоящим ТТ), будет применяться эквивалентная продукция*, Подрядчик принимает на себя все затраты по внесению соответствующих изменений в проектную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both"/>
              <w:spacing w:line="240" w:lineRule="auto"/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i/>
                <w:sz w:val="24"/>
                <w:szCs w:val="24"/>
                <w:highlight w:val="white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</w:t>
            </w:r>
            <w:r>
              <w:rPr>
                <w:i/>
                <w:sz w:val="24"/>
                <w:szCs w:val="24"/>
              </w:rPr>
              <w:t xml:space="preserve">атериалов Подрядчика и технической документации.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line="240" w:lineRule="auto"/>
              <w:rPr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1.3.2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56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Контроль качества используемых запасных частей и материалов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jc w:val="left"/>
              <w:spacing w:before="60" w:line="240" w:lineRule="auto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6793" w:type="dxa"/>
            <w:vMerge w:val="restart"/>
            <w:textDirection w:val="lrTb"/>
            <w:noWrap w:val="false"/>
          </w:tcPr>
          <w:p>
            <w:pPr>
              <w:ind w:left="0" w:right="0" w:firstLine="283"/>
              <w:jc w:val="both"/>
              <w:spacing w:after="0" w:afterAutospacing="0" w:line="240" w:lineRule="auto"/>
              <w:rPr>
                <w:i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Р</w:t>
            </w:r>
            <w:r>
              <w:rPr>
                <w:i w:val="0"/>
                <w:iCs w:val="0"/>
                <w:sz w:val="24"/>
                <w:szCs w:val="24"/>
              </w:rPr>
              <w:t xml:space="preserve">уководители работ Подрядчика совместно с представителями Заказчика, осуществляют входной контроль качества применяемых материалов и запасных частей</w:t>
            </w:r>
            <w:r>
              <w:rPr>
                <w:i w:val="0"/>
                <w:iCs w:val="0"/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  <w:highlight w:val="white"/>
              </w:rPr>
            </w:r>
            <w:r>
              <w:rPr>
                <w:i/>
                <w:sz w:val="24"/>
                <w:szCs w:val="24"/>
                <w:highlight w:val="white"/>
              </w:rPr>
            </w:r>
          </w:p>
          <w:p>
            <w:pPr>
              <w:ind w:left="0" w:right="0" w:firstLine="283"/>
              <w:jc w:val="both"/>
              <w:spacing w:after="0" w:afterAutospacing="0" w:line="240" w:lineRule="auto"/>
              <w:rPr>
                <w:bCs/>
                <w:i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М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атериалы Подрядчика должны иметь сертификаты, паспорта и другие документы, подтверждающие их качество. 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after="0" w:afterAutospacing="0" w:line="240" w:lineRule="auto"/>
              <w:rPr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При осуществлении Подрядчиком входного контроля качества МТР</w:t>
            </w:r>
            <w:r>
              <w:rPr>
                <w:i w:val="0"/>
                <w:iCs w:val="0"/>
                <w:sz w:val="24"/>
                <w:szCs w:val="24"/>
              </w:rPr>
              <w:t xml:space="preserve">, поступивших на место производства работ, обязательно нал</w:t>
            </w:r>
            <w:r>
              <w:rPr>
                <w:i w:val="0"/>
                <w:iCs w:val="0"/>
                <w:sz w:val="24"/>
                <w:szCs w:val="24"/>
              </w:rPr>
              <w:t xml:space="preserve">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sz w:val="24"/>
                <w:szCs w:val="24"/>
                <w:highlight w:val="none"/>
              </w:rPr>
            </w:r>
            <w:r>
              <w:rPr>
                <w:i w:val="0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afterAutospacing="0" w:line="240" w:lineRule="auto"/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1.3.3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56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Контроль качества работ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jc w:val="left"/>
              <w:spacing w:before="60" w:line="240" w:lineRule="auto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6793" w:type="dxa"/>
            <w:vMerge w:val="restart"/>
            <w:textDirection w:val="lrTb"/>
            <w:noWrap w:val="false"/>
          </w:tcPr>
          <w:p>
            <w:pPr>
              <w:ind w:left="0" w:right="0" w:firstLine="283"/>
              <w:jc w:val="both"/>
              <w:spacing w:after="0" w:afterAutospacing="0" w:line="240" w:lineRule="auto"/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В соответствии с законом </w:t>
            </w:r>
            <w:r>
              <w:rPr>
                <w:color w:val="000000" w:themeColor="text1"/>
                <w:szCs w:val="24"/>
                <w:lang w:val="ru-RU" w:bidi="ar-SA"/>
              </w:rPr>
              <w:t xml:space="preserve">от 27.12.2002 г </w:t>
            </w:r>
            <w:r>
              <w:rPr>
                <w:i w:val="0"/>
                <w:iCs w:val="0"/>
                <w:sz w:val="24"/>
                <w:szCs w:val="24"/>
              </w:rPr>
              <w:t xml:space="preserve">№ 184-ФЗ «О техническом регулировании» Подрядчик принимает на себя добровольное обязательство о</w:t>
            </w:r>
            <w:r>
              <w:rPr>
                <w:i w:val="0"/>
                <w:iCs w:val="0"/>
                <w:sz w:val="24"/>
                <w:szCs w:val="24"/>
              </w:rPr>
              <w:t xml:space="preserve"> соблюдении требований правил, технических условий, ГОСТ, ПУЭ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after="0" w:afterAutospacing="0" w:line="240" w:lineRule="auto"/>
              <w:rPr>
                <w:bCs/>
                <w:i/>
                <w:sz w:val="24"/>
                <w:szCs w:val="24"/>
                <w:highlight w:val="yellow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Руководители работ Подрядчика, участвующие в выполнении</w:t>
            </w:r>
            <w:r>
              <w:rPr>
                <w:i w:val="0"/>
                <w:iCs w:val="0"/>
                <w:sz w:val="24"/>
                <w:szCs w:val="24"/>
              </w:rPr>
              <w:t xml:space="preserve"> работ совместно с п</w:t>
            </w:r>
            <w:r>
              <w:rPr>
                <w:i w:val="0"/>
                <w:iCs w:val="0"/>
                <w:sz w:val="24"/>
                <w:szCs w:val="24"/>
              </w:rPr>
              <w:t xml:space="preserve">р</w:t>
            </w:r>
            <w:r>
              <w:rPr>
                <w:i w:val="0"/>
                <w:iCs w:val="0"/>
                <w:sz w:val="24"/>
                <w:szCs w:val="24"/>
              </w:rPr>
              <w:t xml:space="preserve">едставителями Заказчика, проводят оперативный контроль качества выполняемых ремонтных работ, проверяют соблюдение технологической дисциплины.</w:t>
            </w:r>
            <w:r>
              <w:rPr>
                <w:bCs/>
                <w:i/>
                <w:sz w:val="24"/>
                <w:szCs w:val="24"/>
                <w:highlight w:val="yellow"/>
              </w:rPr>
            </w:r>
            <w:r>
              <w:rPr>
                <w:bCs/>
                <w:i/>
                <w:sz w:val="24"/>
                <w:szCs w:val="24"/>
                <w:highlight w:val="yellow"/>
              </w:rPr>
            </w:r>
          </w:p>
          <w:p>
            <w:pPr>
              <w:ind w:left="0" w:right="0" w:firstLine="283"/>
              <w:jc w:val="both"/>
              <w:spacing w:after="0" w:afterAutospacing="0" w:line="240" w:lineRule="auto"/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Требования к контролю качества работ подробно указаны в проекте договора (в том числе в разделе № 2) 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(Приложение №2 к Документации о закупке)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jc w:val="left"/>
              <w:spacing w:after="0" w:afterAutospacing="0" w:line="240" w:lineRule="auto"/>
              <w:rPr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6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449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1.4.</w:t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4"/>
                <w:szCs w:val="24"/>
                <w:highlight w:val="green"/>
              </w:rPr>
            </w:pPr>
            <w:r>
              <w:rPr>
                <w:rFonts w:eastAsia="Calibri"/>
                <w:sz w:val="24"/>
                <w:szCs w:val="24"/>
              </w:rPr>
              <w:t xml:space="preserve">1.4.1</w:t>
            </w:r>
            <w:r>
              <w:rPr>
                <w:rFonts w:eastAsia="Calibri"/>
                <w:sz w:val="24"/>
                <w:szCs w:val="24"/>
                <w:highlight w:val="green"/>
              </w:rPr>
            </w:r>
            <w:r>
              <w:rPr>
                <w:rFonts w:eastAsia="Calibri"/>
                <w:sz w:val="24"/>
                <w:szCs w:val="24"/>
                <w:highlight w:val="green"/>
              </w:rPr>
            </w:r>
          </w:p>
        </w:tc>
        <w:tc>
          <w:tcPr>
            <w:tcW w:w="2562" w:type="dxa"/>
            <w:textDirection w:val="lrTb"/>
            <w:noWrap w:val="false"/>
          </w:tcPr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Квалификация персонала подрядчика, привлекаемого к выполнению работ</w:t>
            </w:r>
            <w:r>
              <w:rPr>
                <w:sz w:val="24"/>
                <w:szCs w:val="24"/>
                <w:highlight w:val="green"/>
              </w:rPr>
            </w:r>
            <w:r>
              <w:rPr>
                <w:sz w:val="24"/>
                <w:szCs w:val="24"/>
                <w:highlight w:val="green"/>
              </w:rPr>
            </w:r>
          </w:p>
        </w:tc>
        <w:tc>
          <w:tcPr>
            <w:tcW w:w="6793" w:type="dxa"/>
            <w:textDirection w:val="lrTb"/>
            <w:noWrap w:val="false"/>
          </w:tcPr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Подрядчик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 должен: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  <w:p>
            <w:pPr>
              <w:pStyle w:val="990"/>
              <w:numPr>
                <w:ilvl w:val="0"/>
                <w:numId w:val="50"/>
              </w:numPr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567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 xml:space="preserve">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990"/>
              <w:numPr>
                <w:ilvl w:val="0"/>
                <w:numId w:val="50"/>
              </w:numPr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567" w:leader="none"/>
              </w:tabs>
              <w:rPr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располагать </w:t>
            </w:r>
            <w:r>
              <w:rPr>
                <w:bCs/>
                <w:i w:val="0"/>
                <w:iCs w:val="0"/>
                <w:sz w:val="24"/>
                <w:szCs w:val="24"/>
              </w:rPr>
              <w:t xml:space="preserve">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достаточным количеством аттестованного персонала, организованного по принципу комплексных специализированных бригад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(оформленных в соответствии с Гражданским Кодексом Российской Федерации или привлекаемых по трудовым либо гражданско-правовым договорам, либо планируемых к привлечению, в том числе по договорам субподряда)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50"/>
              </w:num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иметь минимально необходимое для выполнения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работ количество квалифицированного персонала (оформленного в соответствии с Гражда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  <w:highlight w:val="none"/>
              </w:rPr>
            </w:pP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  <w:p>
            <w:pPr>
              <w:pStyle w:val="990"/>
              <w:numPr>
                <w:ilvl w:val="0"/>
                <w:numId w:val="51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  <w:tab w:val="left" w:pos="3685" w:leader="none"/>
              </w:tabs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список перс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онала с указа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н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ием сведени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й о квалификации персонала, разряде и группе по эле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ктробезопасности с приложением копий удостоверений на производство специальных видов работ (огневых, сварочных, грузоподъемных, работ с электро - и пневмоинструментом) (возможно совмещение специальностей);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  <w:tab w:val="left" w:pos="3685" w:leader="none"/>
              </w:tabs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Во время выполнения работ команда ИТР Подрядчика должна поддерживать на должном уро</w:t>
            </w:r>
            <w:r>
              <w:rPr>
                <w:i w:val="0"/>
                <w:iCs w:val="0"/>
                <w:sz w:val="24"/>
                <w:szCs w:val="24"/>
              </w:rPr>
              <w:t xml:space="preserve">вне систему управ</w:t>
            </w:r>
            <w:r>
              <w:rPr>
                <w:i w:val="0"/>
                <w:iCs w:val="0"/>
                <w:sz w:val="24"/>
                <w:szCs w:val="24"/>
              </w:rPr>
              <w:t xml:space="preserve">ления раб</w:t>
            </w:r>
            <w:r>
              <w:rPr>
                <w:i w:val="0"/>
                <w:iCs w:val="0"/>
                <w:sz w:val="24"/>
                <w:szCs w:val="24"/>
              </w:rPr>
              <w:t xml:space="preserve">отами/работами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мероприятий).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pStyle w:val="812"/>
              <w:ind w:firstLine="283"/>
              <w:jc w:val="both"/>
              <w:spacing w:before="0" w:after="0" w:line="240" w:lineRule="auto"/>
              <w:widowControl/>
              <w:rPr>
                <w:sz w:val="22"/>
                <w:szCs w:val="22"/>
              </w:rPr>
            </w:pPr>
            <w:r>
              <w:rPr>
                <w:szCs w:val="24"/>
                <w:lang w:val="ru-RU" w:bidi="ar-SA"/>
              </w:rPr>
              <w:t xml:space="preserve">Согласно требования п.92 Постановления правительства Российской федерации от 24.12.2021 г.№ 2464 «О порядке обучения по охране труда и проверки знаний требований охраны труда»: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2"/>
              <w:ind w:firstLine="283"/>
              <w:jc w:val="both"/>
              <w:spacing w:before="0" w:after="0" w:line="240" w:lineRule="auto"/>
              <w:widowControl/>
              <w:rPr>
                <w:sz w:val="22"/>
                <w:szCs w:val="22"/>
              </w:rPr>
            </w:pPr>
            <w:r>
              <w:rPr>
                <w:szCs w:val="24"/>
                <w:lang w:val="ru-RU" w:eastAsia="en-US" w:bidi="ar-SA"/>
              </w:rPr>
              <w:t xml:space="preserve">Иметь в наличие не менее 3 человек (руководитель, производитель работ и всех членов бригады) прошедших проверку знаний требований охраны труда.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  <w:tab w:val="left" w:pos="3685" w:leader="none"/>
              </w:tabs>
              <w:rPr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1.4.2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562" w:type="dxa"/>
            <w:textDirection w:val="lrTb"/>
            <w:noWrap w:val="false"/>
          </w:tcPr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Специальные требования к персоналу Подрядчика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6793" w:type="dxa"/>
            <w:textDirection w:val="lrTb"/>
            <w:noWrap w:val="false"/>
          </w:tcPr>
          <w:p>
            <w:pPr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Подрядчик должен обеспечить выполнение работ с привлечением аттестованных  специалистов сварочного производства (</w:t>
            </w:r>
            <w:r>
              <w:rPr>
                <w:bCs/>
                <w:sz w:val="24"/>
                <w:szCs w:val="24"/>
                <w:lang w:val="en-US"/>
              </w:rPr>
              <w:t xml:space="preserve">I</w:t>
            </w:r>
            <w:r>
              <w:rPr>
                <w:bCs/>
                <w:sz w:val="24"/>
                <w:szCs w:val="24"/>
              </w:rPr>
              <w:t xml:space="preserve"> – </w:t>
            </w:r>
            <w:r>
              <w:rPr>
                <w:bCs/>
                <w:sz w:val="24"/>
                <w:szCs w:val="24"/>
                <w:lang w:val="en-US"/>
              </w:rPr>
              <w:t xml:space="preserve">III</w:t>
            </w:r>
            <w:r>
              <w:rPr>
                <w:bCs/>
                <w:sz w:val="24"/>
                <w:szCs w:val="24"/>
              </w:rPr>
              <w:t xml:space="preserve"> уровня) в соответствии с требованиями </w:t>
            </w:r>
            <w:r>
              <w:rPr>
                <w:rFonts w:eastAsia="Tahoma" w:cs="Droid Sans Devanagari"/>
                <w:bCs/>
                <w:sz w:val="24"/>
                <w:szCs w:val="24"/>
              </w:rPr>
              <w:t xml:space="preserve">Приказа от 11.12.2020 № 519 Ростехнадзора «Об утверждении федеральных норм и правил в области промышленной безопасности «Требования к производству сварочных работ на опасных производственных объектах</w:t>
            </w:r>
            <w:r>
              <w:rPr>
                <w:sz w:val="24"/>
                <w:szCs w:val="24"/>
              </w:rPr>
              <w:t xml:space="preserve">»»: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52"/>
              </w:numPr>
              <w:ind w:left="0" w:right="0" w:firstLine="283"/>
              <w:jc w:val="both"/>
              <w:spacing w:before="60" w:after="60" w:line="240" w:lineRule="auto"/>
              <w:widowControl w:val="off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3 (трех) сварщиков (не ниже 5 разряда), (группа опасных объектов: котельное оборудование КО-2; </w:t>
            </w:r>
            <w:r>
              <w:rPr>
                <w:rFonts w:eastAsia="Tahoma" w:cs="Droid Sans Devanagari"/>
                <w:bCs/>
                <w:sz w:val="24"/>
                <w:szCs w:val="24"/>
              </w:rPr>
              <w:t xml:space="preserve">строительные конструкции </w:t>
            </w:r>
            <w:r>
              <w:rPr>
                <w:sz w:val="24"/>
                <w:szCs w:val="24"/>
              </w:rPr>
              <w:t xml:space="preserve">СК-1, СК-2, СК-3) (с предоставлением до начала работ копий </w:t>
            </w:r>
            <w:r>
              <w:rPr>
                <w:sz w:val="24"/>
                <w:szCs w:val="24"/>
              </w:rPr>
              <w:t xml:space="preserve">аттестационных удостоверений специалистов сварочного производства 1 уровня);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52"/>
              </w:numPr>
              <w:ind w:left="0" w:right="0" w:firstLine="283"/>
              <w:jc w:val="both"/>
              <w:spacing w:before="60" w:after="60" w:line="240" w:lineRule="auto"/>
              <w:widowControl w:val="off"/>
              <w:tabs>
                <w:tab w:val="left" w:pos="567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не менее 1 (одного) ИТР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(технолог-сварщик), (группа опасных объектов: котельное оборудование КО-2; </w:t>
            </w:r>
            <w:r>
              <w:rPr>
                <w:rFonts w:eastAsia="Tahoma" w:cs="Droid Sans Devanagari"/>
                <w:bCs/>
                <w:sz w:val="24"/>
                <w:szCs w:val="24"/>
              </w:rPr>
              <w:t xml:space="preserve">строительные конструкции </w:t>
            </w:r>
            <w:r>
              <w:rPr>
                <w:sz w:val="24"/>
                <w:szCs w:val="24"/>
              </w:rPr>
              <w:t xml:space="preserve">СК-1, СК-2, СК-3) (с предоставлением копии аттестационного удостоверения специалиста сварочного производства 3 уровня).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before="60" w:line="240" w:lineRule="auto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142" w:right="0" w:firstLine="0"/>
              <w:jc w:val="left"/>
              <w:spacing w:before="60" w:after="60" w:line="276" w:lineRule="auto"/>
              <w:tabs>
                <w:tab w:val="left" w:pos="140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1.5.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textDirection w:val="lrTb"/>
            <w:noWrap w:val="false"/>
          </w:tcPr>
          <w:p>
            <w:pPr>
              <w:ind w:firstLine="0"/>
              <w:spacing w:before="6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ind w:left="142" w:right="0" w:firstLine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1.5.1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56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Требования к безопасности выполняемых работ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6793" w:type="dxa"/>
            <w:textDirection w:val="lrTb"/>
            <w:noWrap w:val="false"/>
          </w:tcPr>
          <w:p>
            <w:pPr>
              <w:contextualSpacing/>
              <w:ind w:left="0" w:right="0" w:firstLine="283"/>
              <w:jc w:val="both"/>
              <w:spacing w:line="240" w:lineRule="auto"/>
              <w:tabs>
                <w:tab w:val="left" w:pos="447" w:leader="none"/>
              </w:tabs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Подрядчик обязан направлять на объ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Подрядчик должен соблюдать требования действующего федерального законодательства Российской Федерации, нормативных правовых актов субъектов Российской Федерации</w:t>
            </w:r>
            <w:r>
              <w:rPr>
                <w:bCs/>
                <w:i w:val="0"/>
                <w:iCs w:val="0"/>
                <w:sz w:val="24"/>
                <w:szCs w:val="24"/>
              </w:rPr>
              <w:t xml:space="preserve">: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53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567" w:leader="none"/>
              </w:tabs>
              <w:rPr>
                <w:bCs/>
                <w:i w:val="0"/>
                <w:iCs w:val="0"/>
                <w:sz w:val="24"/>
                <w:szCs w:val="24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 xml:space="preserve">СНиП 12-03-2001 «Безопасность труда в строительстве. Часть 1. Общие требования» (приняты и введены в действие Пост. Госстроя РФ от 23.07.2001 г. № 80);</w:t>
            </w:r>
            <w:r>
              <w:rPr>
                <w:bCs/>
                <w:i w:val="0"/>
                <w:iCs w:val="0"/>
                <w:sz w:val="24"/>
                <w:szCs w:val="24"/>
              </w:rPr>
            </w:r>
            <w:r>
              <w:rPr>
                <w:bCs/>
                <w:i w:val="0"/>
                <w:iCs w:val="0"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53"/>
              </w:numPr>
              <w:contextualSpacing/>
              <w:ind w:left="0" w:right="0" w:firstLine="283"/>
              <w:jc w:val="both"/>
              <w:spacing w:before="60" w:line="240" w:lineRule="auto"/>
              <w:widowControl w:val="off"/>
              <w:tabs>
                <w:tab w:val="left" w:pos="567" w:leader="none"/>
              </w:tabs>
              <w:rPr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bCs/>
                <w:i w:val="0"/>
                <w:iCs w:val="0"/>
                <w:sz w:val="24"/>
                <w:szCs w:val="24"/>
              </w:rPr>
              <w:t xml:space="preserve">СНиП 12-04-2002 «Безопасность труда в строительстве. Часть 2. Строительное производство» (приняты и введены в действие Пост. Госстроя РФ от 17.09.2002 г. № 123);</w:t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pStyle w:val="990"/>
              <w:numPr>
                <w:ilvl w:val="0"/>
                <w:numId w:val="53"/>
              </w:num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eastAsia="Courier New"/>
                <w:i w:val="0"/>
                <w:iCs w:val="0"/>
                <w:color w:val="000000"/>
                <w:sz w:val="24"/>
                <w:szCs w:val="24"/>
                <w:lang w:bidi="ru-RU"/>
              </w:rPr>
              <w:t xml:space="preserve">Правила промышленной безопасности при использовании оборудования, работающего под избыточным давлением, утвержденные приказом Федеральной службы по экологическому, технологическому и атомному надзору от 15.12.2020 г. № 536;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53"/>
              </w:num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rFonts w:eastAsia="Courier New"/>
                <w:i w:val="0"/>
                <w:iCs w:val="0"/>
                <w:color w:val="000000"/>
                <w:sz w:val="24"/>
                <w:szCs w:val="24"/>
                <w:highlight w:val="none"/>
                <w:lang w:bidi="ru-RU"/>
              </w:rPr>
            </w:r>
            <w:r>
              <w:rPr>
                <w:rFonts w:eastAsia="Courier New"/>
                <w:i w:val="0"/>
                <w:iCs w:val="0"/>
                <w:color w:val="000000"/>
                <w:sz w:val="24"/>
                <w:szCs w:val="24"/>
                <w:lang w:bidi="ru-RU"/>
              </w:rPr>
              <w:t xml:space="preserve">Правила безопасности опасных производственных объектов, на которых используются подъемные сооружения, утвержденные приказом Федеральной службы по экологическому и атомному надзору от 26.11.2020 г. № 461;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 №2) </w:t>
            </w:r>
            <w:r>
              <w:rPr>
                <w:szCs w:val="24"/>
                <w:highlight w:val="white"/>
                <w:lang w:val="ru-RU" w:bidi="ar-SA"/>
              </w:rPr>
              <w:t xml:space="preserve">(Приложение №2 к Документации о закупке)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contextualSpacing/>
              <w:ind w:left="0" w:firstLine="0"/>
              <w:jc w:val="both"/>
              <w:spacing w:line="240" w:lineRule="auto"/>
              <w:tabs>
                <w:tab w:val="left" w:pos="447" w:leader="none"/>
              </w:tabs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ind w:left="142" w:right="0" w:firstLine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1.5.2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562" w:type="dxa"/>
            <w:vMerge w:val="restart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Соблюдение требований пожарной безопасности</w:t>
            </w:r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tcW w:w="6793" w:type="dxa"/>
            <w:vMerge w:val="restart"/>
            <w:textDirection w:val="lrTb"/>
            <w:noWrap w:val="false"/>
          </w:tcPr>
          <w:p>
            <w:pPr>
              <w:ind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44"/>
              </w:numPr>
              <w:ind w:left="0" w:right="0" w:firstLine="283"/>
              <w:jc w:val="both"/>
              <w:spacing w:before="0" w:beforeAutospacing="0" w:after="0" w:afterAutospacing="0" w:line="240" w:lineRule="auto"/>
              <w:shd w:val="clear" w:color="auto" w:fill="ffff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Правила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44"/>
              </w:numPr>
              <w:ind w:left="0" w:right="0" w:firstLine="283"/>
              <w:jc w:val="both"/>
              <w:spacing w:before="0" w:beforeAutospacing="0" w:after="0" w:afterAutospacing="0" w:line="240" w:lineRule="auto"/>
              <w:shd w:val="clear" w:color="auto" w:fill="ffff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Технический регламент о требованиях пожарной безопасности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. №123-ФЗ от 22.07.2008;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44"/>
              </w:num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ГОСТ 12.1.004-91 Система стандартов безопасности труда. Пожарная безопасность. Общие требования.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Персональную ответственность за обеспечение пожарной безопасности несёт руководитель Подрядчика или лицо, его замещающее.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Ремонтная площадка должна быть оснащена средствами пожаротушения.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90"/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2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умент, принятый в его развитие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both"/>
              <w:spacing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ind w:left="142" w:right="0" w:firstLine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1.5.3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562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Соблюдение требований охраны труда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  <w:p>
            <w:pPr>
              <w:ind w:left="0" w:right="0" w:firstLine="283"/>
              <w:jc w:val="left"/>
              <w:spacing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</w:p>
        </w:tc>
        <w:tc>
          <w:tcPr>
            <w:tcW w:w="6793" w:type="dxa"/>
            <w:vMerge w:val="restart"/>
            <w:textDirection w:val="lrTb"/>
            <w:noWrap w:val="false"/>
          </w:tcPr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Контроль по соблюдению требований охраны труда осуществляется Подрядчиком и Заказчиком.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Заказчик обязуется назначить куратора и обеспечить допуск персонала подрядчика к месту проведения ремонтных работ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Подрядчик обязуется до начала выполнения работ разработать и предоставить на согласование ППР, указать методы и технологию выполнения работ, организационные вопросы, мероприятия по технике безопасности и охране труда.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Применяемые при работах механизмы и грузоподъемные машины (в соответствии с разрабатываемым Подрядчиком ППР), приспособления и инструмент должны быть испытаны и эксплуатироваться в соответствии с требованиями стандартов безопасности труда, правил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Ростехнадзора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, а также инструкций заводов – изготовителей.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Правила по охране труда при строительстве, реконструкции и ремонте (утверждены приказом Министерства труда от 11.12.2020 № 883н);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Правил по охране труда при выполнении электросварочных и газосварочных работ (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утверждены приказом Министерства труда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 от 11.12.2020 № 884н)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Правила по охране труда при работе на высоте (утверждены приказом Министерства труда от 16.11.2020 №782н)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46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none"/>
              </w:rPr>
              <w:t xml:space="preserve">Правила по охране труда при производстве дорожных строительных и ремонтно-строительных работ (Приказ Министерства труда от 11.12.2020г. № 882Н);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90"/>
              <w:numPr>
                <w:ilvl w:val="0"/>
                <w:numId w:val="46"/>
              </w:numPr>
              <w:contextualSpacing/>
              <w:ind w:left="0" w:right="0" w:firstLine="283"/>
              <w:jc w:val="both"/>
              <w:spacing w:before="150" w:after="150" w:line="240" w:lineRule="auto"/>
              <w:shd w:val="clear" w:color="ffffff" w:fill="ffff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Правила по охране труда при выполнении антикоррозионных работ по нанесению защитных покрытий на тру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бы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ГОСТ Р 12.3.052-2020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«Система стандартов безопасности труда. Строительство. Работы антикоррозионные. Требования безопасности»);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14:ligatures w14:val="none"/>
              </w:rPr>
            </w:r>
          </w:p>
          <w:p>
            <w:pPr>
              <w:numPr>
                <w:ilvl w:val="0"/>
                <w:numId w:val="45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Правила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 №887н)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 №753н);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ind w:left="0" w:right="0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Правила по охране труда при эксплуатации электроустановок, утвержденные Приказом Министерства труда и социальной защиты РФ от 15.12.2020 №903н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numPr>
                <w:ilvl w:val="0"/>
                <w:numId w:val="45"/>
              </w:num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 №461).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pStyle w:val="990"/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умент, принятый в его развитие 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contextualSpacing/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 № 2) </w:t>
            </w:r>
            <w:r>
              <w:rPr>
                <w:szCs w:val="24"/>
                <w:highlight w:val="white"/>
                <w:lang w:val="ru-RU" w:bidi="ar-SA"/>
              </w:rPr>
              <w:t xml:space="preserve">(Приложение №2 к Документации о закупке)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jc w:val="both"/>
              <w:spacing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219"/>
        </w:trPr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62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6793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rPr>
                <w:i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contextualSpacing/>
              <w:ind w:left="0" w:right="37" w:firstLine="0"/>
              <w:jc w:val="both"/>
              <w:spacing w:before="0" w:beforeAutospacing="0" w:after="0" w:afterAutospacing="0" w:line="240" w:lineRule="auto"/>
              <w:widowControl w:val="off"/>
              <w:rPr>
                <w:i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54"/>
              </w:numPr>
              <w:contextualSpacing/>
              <w:ind w:left="0" w:right="37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i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Федеральный закон от 10.01.2002 № 7-ФЗ «Об охране окружающей среды» (ред. от 08.08.2024);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54"/>
              </w:numPr>
              <w:contextualSpacing/>
              <w:ind w:left="0" w:right="37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i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Федеральный закон от 04.05.1999 № 96-ФЗ «Об охране атмосферного воздуха» (ред. от 08.08.2024);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990"/>
              <w:numPr>
                <w:ilvl w:val="0"/>
                <w:numId w:val="54"/>
              </w:numPr>
              <w:contextualSpacing/>
              <w:ind w:left="0" w:right="37" w:firstLine="283"/>
              <w:jc w:val="both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</w:tabs>
              <w:rPr>
                <w:i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Водный кодекс Российской Федерации от 03.06.2006 № 74-ФЗ (ред. от 08.08.2024)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990"/>
              <w:ind w:left="0"/>
              <w:jc w:val="both"/>
              <w:spacing w:before="0" w:beforeAutospacing="0" w:after="0" w:afterAutospacing="0" w:line="240" w:lineRule="auto"/>
              <w:tabs>
                <w:tab w:val="left" w:pos="256" w:leader="none"/>
              </w:tabs>
              <w:rPr>
                <w:bCs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</w:t>
            </w:r>
            <w:r>
              <w:rPr>
                <w:i w:val="0"/>
                <w:iCs w:val="0"/>
                <w:sz w:val="24"/>
                <w:szCs w:val="24"/>
              </w:rPr>
              <w:t xml:space="preserve">умент, принятый в его </w:t>
            </w:r>
            <w:r>
              <w:rPr>
                <w:i w:val="0"/>
                <w:iCs w:val="0"/>
                <w:sz w:val="24"/>
                <w:szCs w:val="24"/>
              </w:rPr>
              <w:t xml:space="preserve">развитие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629"/>
        </w:trPr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ind w:left="142" w:right="0" w:firstLine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1.5.4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ind w:left="142" w:right="0" w:firstLine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562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6793" w:type="dxa"/>
            <w:vMerge w:val="restart"/>
            <w:textDirection w:val="lrTb"/>
            <w:noWrap w:val="false"/>
          </w:tcPr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rPr>
                <w:i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before="0" w:beforeAutospacing="0" w:after="0" w:afterAutospacing="0" w:line="240" w:lineRule="auto"/>
              <w:rPr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2"/>
        </w:trPr>
        <w:tc>
          <w:tcPr>
            <w:tcW w:w="963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2.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gridSpan w:val="2"/>
            <w:tcW w:w="9355" w:type="dxa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spacing w:before="60" w:after="60" w:line="240" w:lineRule="auto"/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2.1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textDirection w:val="lrTb"/>
            <w:noWrap w:val="false"/>
          </w:tcPr>
          <w:p>
            <w:pPr>
              <w:ind w:firstLine="0"/>
              <w:spacing w:before="60" w:line="240" w:lineRule="auto"/>
              <w:rPr>
                <w:b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i/>
                <w:iCs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Состояние теплотрассы после реконструкции должно соответствовать требованиям нормативно-технической д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окументации</w:t>
            </w:r>
            <w:r>
              <w:rPr>
                <w:bCs/>
                <w:i w:val="0"/>
                <w:iCs w:val="0"/>
                <w:sz w:val="24"/>
                <w:szCs w:val="24"/>
                <w:highlight w:val="none"/>
              </w:rPr>
              <w:t xml:space="preserve"> в течение гарантийного срока и обеспечить безотказную работу с момента приемки.</w:t>
            </w:r>
            <w:r>
              <w:rPr>
                <w:i/>
                <w:iCs/>
                <w:sz w:val="24"/>
                <w:szCs w:val="24"/>
                <w:highlight w:val="none"/>
              </w:rPr>
            </w:r>
            <w:r>
              <w:rPr>
                <w:i/>
                <w:iCs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before="60" w:line="240" w:lineRule="auto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spacing w:before="60" w:after="60" w:line="276" w:lineRule="auto"/>
              <w:rPr>
                <w:rFonts w:eastAsia="Calibri"/>
                <w:b w:val="0"/>
                <w:bCs w:val="0"/>
                <w:sz w:val="24"/>
                <w:szCs w:val="24"/>
              </w:rPr>
            </w:pPr>
            <w:r>
              <w:rPr>
                <w:rFonts w:eastAsia="Calibri"/>
                <w:b w:val="0"/>
                <w:bCs w:val="0"/>
                <w:sz w:val="24"/>
                <w:szCs w:val="24"/>
              </w:rPr>
              <w:t xml:space="preserve">2.2</w:t>
            </w:r>
            <w:r>
              <w:rPr>
                <w:rFonts w:eastAsia="Calibri"/>
                <w:b w:val="0"/>
                <w:bCs w:val="0"/>
                <w:sz w:val="24"/>
                <w:szCs w:val="24"/>
              </w:rPr>
            </w:r>
            <w:r>
              <w:rPr>
                <w:rFonts w:eastAsia="Calibri"/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Требования к порядку приемки результатов работ</w:t>
            </w:r>
            <w:r>
              <w:rPr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b w:val="0"/>
                <w:bCs/>
                <w:i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none"/>
              </w:rPr>
              <w:t xml:space="preserve">Приемка выполненных работ осуществляется в соответствии с :</w:t>
            </w:r>
            <w:r>
              <w:rPr>
                <w:b w:val="0"/>
                <w:bCs/>
                <w:i/>
                <w:sz w:val="24"/>
                <w:szCs w:val="24"/>
              </w:rPr>
            </w:r>
            <w:r>
              <w:rPr>
                <w:b w:val="0"/>
                <w:bCs/>
                <w:i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tabs>
                <w:tab w:val="left" w:pos="567" w:leader="none"/>
              </w:tabs>
              <w:rPr>
                <w:i/>
                <w:iCs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–</w:t>
            </w:r>
            <w:r>
              <w:rPr>
                <w:i w:val="0"/>
                <w:iCs w:val="0"/>
                <w:sz w:val="24"/>
                <w:szCs w:val="24"/>
              </w:rPr>
              <w:tab/>
              <w:t xml:space="preserve">Положение 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«ДГК»» №21-003-2019 (приказ АО «ДГК» от </w:t>
            </w:r>
            <w:r>
              <w:rPr>
                <w:i w:val="0"/>
                <w:iCs w:val="0"/>
                <w:sz w:val="24"/>
                <w:szCs w:val="24"/>
              </w:rPr>
              <w:t xml:space="preserve">29.11.2019 №555) (Приложение № 6 к ТТ).</w:t>
            </w:r>
            <w:r>
              <w:rPr>
                <w:i/>
                <w:iCs/>
                <w:sz w:val="24"/>
                <w:szCs w:val="24"/>
                <w:highlight w:val="none"/>
              </w:rPr>
            </w:r>
            <w:r>
              <w:rPr>
                <w:i/>
                <w:iCs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bCs/>
                <w:sz w:val="24"/>
                <w:szCs w:val="24"/>
                <w:highlight w:val="white"/>
              </w:rPr>
            </w:pPr>
            <w:r>
              <w:rPr>
                <w:i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center"/>
              <w:spacing w:before="60" w:after="60" w:line="276" w:lineRule="auto"/>
              <w:rPr>
                <w:rFonts w:eastAsia="Calibri"/>
                <w:b w:val="0"/>
                <w:bCs w:val="0"/>
                <w:sz w:val="24"/>
                <w:szCs w:val="24"/>
              </w:rPr>
            </w:pPr>
            <w:r>
              <w:rPr>
                <w:rFonts w:eastAsia="Calibri"/>
                <w:b w:val="0"/>
                <w:bCs w:val="0"/>
                <w:sz w:val="24"/>
                <w:szCs w:val="24"/>
              </w:rPr>
              <w:t xml:space="preserve">2.</w:t>
            </w:r>
            <w:r>
              <w:rPr>
                <w:rFonts w:eastAsia="Calibri"/>
                <w:b w:val="0"/>
                <w:bCs w:val="0"/>
                <w:sz w:val="24"/>
                <w:szCs w:val="24"/>
              </w:rPr>
              <w:t xml:space="preserve">3</w:t>
            </w:r>
            <w:r>
              <w:rPr>
                <w:rFonts w:eastAsia="Calibri"/>
                <w:b w:val="0"/>
                <w:bCs w:val="0"/>
                <w:sz w:val="24"/>
                <w:szCs w:val="24"/>
              </w:rPr>
            </w:r>
            <w:r>
              <w:rPr>
                <w:rFonts w:eastAsia="Calibri"/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textDirection w:val="lrTb"/>
            <w:noWrap w:val="false"/>
          </w:tcPr>
          <w:p>
            <w:pPr>
              <w:ind w:firstLine="0"/>
              <w:spacing w:before="60" w:line="240" w:lineRule="auto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Требования к оформлению документации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При выполнении работ Подрядчик обязан оформить и передать Заказчику в установленные ср</w:t>
            </w:r>
            <w:r>
              <w:rPr>
                <w:sz w:val="24"/>
                <w:szCs w:val="24"/>
              </w:rPr>
              <w:t xml:space="preserve">оки сдаточную и исполнительную документацию в соответствии с 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</w:t>
            </w:r>
            <w:r>
              <w:rPr>
                <w:sz w:val="24"/>
                <w:szCs w:val="24"/>
              </w:rPr>
              <w:t xml:space="preserve">1.2019 г. АО «ДГК»</w:t>
            </w:r>
            <w:r>
              <w:rPr>
                <w:sz w:val="24"/>
                <w:szCs w:val="24"/>
              </w:rPr>
              <w:t xml:space="preserve"> (Приложение № 7 к настоящим ТТ)</w:t>
            </w:r>
            <w:r>
              <w:rPr>
                <w:sz w:val="24"/>
                <w:szCs w:val="24"/>
              </w:rPr>
              <w:t xml:space="preserve">, а также приказом Минстроя России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от 16.05.2023 № 344/пр.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both"/>
              <w:spacing w:before="6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Перечень исполнительной документации подробно указан в проекте договора подряда в разделе 4 (в том числе в Приложениях № 4 и № 14 к Договору) (</w:t>
            </w:r>
            <w:r>
              <w:rPr>
                <w:i/>
                <w:szCs w:val="24"/>
                <w:lang w:val="ru-RU" w:bidi="ar-SA"/>
              </w:rPr>
              <w:t xml:space="preserve">Приложение №2 к Документации о закупке)</w:t>
            </w:r>
            <w:r>
              <w:rPr>
                <w:szCs w:val="24"/>
                <w:lang w:val="ru-RU" w:bidi="ar-SA"/>
              </w:rPr>
              <w:t xml:space="preserve">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spacing w:before="6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contextualSpacing/>
              <w:ind w:left="360" w:right="0" w:hanging="218"/>
              <w:jc w:val="center"/>
              <w:spacing w:before="60" w:after="60" w:line="240" w:lineRule="auto"/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vAlign w:val="center"/>
            <w:textDirection w:val="lrTb"/>
            <w:noWrap w:val="false"/>
          </w:tcPr>
          <w:p>
            <w:pPr>
              <w:ind w:firstLine="0"/>
              <w:spacing w:before="40" w:line="240" w:lineRule="auto"/>
              <w:rPr>
                <w:bCs w:val="0"/>
                <w:i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ТТ):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  <w:p>
            <w:pPr>
              <w:ind w:firstLine="0"/>
              <w:spacing w:before="40" w:line="240" w:lineRule="auto"/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Подробно указаны в проекте договора подряда, который включен в состав Документации о закупке </w:t>
            </w:r>
            <w:r>
              <w:rPr>
                <w:color w:val="000000" w:themeColor="text1"/>
                <w:szCs w:val="24"/>
                <w:lang w:val="ru-RU" w:bidi="ar-SA"/>
              </w:rPr>
              <w:t xml:space="preserve">(Приложение № 2 к Документации о закупке)</w:t>
            </w:r>
            <w:r>
              <w:rPr>
                <w:color w:val="000000" w:themeColor="text1"/>
                <w:szCs w:val="24"/>
                <w:lang w:val="ru-RU" w:bidi="ar-SA"/>
              </w:rPr>
              <w:t xml:space="preserve">.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before="40" w:line="240" w:lineRule="auto"/>
              <w:rPr>
                <w:b/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b/>
                <w:bCs w:val="0"/>
                <w:i w:val="0"/>
                <w:sz w:val="24"/>
                <w:szCs w:val="24"/>
              </w:rPr>
            </w:r>
            <w:r>
              <w:rPr>
                <w:b/>
                <w:bCs w:val="0"/>
                <w:i w:val="0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216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  <w:highlight w:val="green"/>
              </w:rPr>
            </w:r>
            <w:r>
              <w:rPr>
                <w:bCs/>
                <w:sz w:val="24"/>
                <w:szCs w:val="24"/>
                <w:highlight w:val="green"/>
              </w:rPr>
            </w:r>
            <w:r>
              <w:rPr>
                <w:bCs/>
                <w:sz w:val="24"/>
                <w:szCs w:val="24"/>
                <w:highlight w:val="green"/>
              </w:rPr>
            </w:r>
          </w:p>
        </w:tc>
      </w:tr>
      <w:tr>
        <w:tblPrEx/>
        <w:trPr/>
        <w:tc>
          <w:tcPr>
            <w:tcW w:w="96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contextualSpacing/>
              <w:ind w:left="283" w:right="0" w:hanging="5"/>
              <w:jc w:val="center"/>
              <w:spacing w:before="60" w:after="6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textDirection w:val="lrTb"/>
            <w:noWrap w:val="false"/>
          </w:tcPr>
          <w:p>
            <w:pPr>
              <w:ind w:firstLine="0"/>
              <w:jc w:val="both"/>
              <w:spacing w:before="20" w:line="240" w:lineRule="auto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4"/>
                <w:szCs w:val="24"/>
              </w:rPr>
              <w:t xml:space="preserve">Требования к ответственности и гарантиям подрядчика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line="240" w:lineRule="auto"/>
              <w:tabs>
                <w:tab w:val="left" w:pos="1134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lang w:bidi="ru-RU"/>
              </w:rPr>
              <w:t xml:space="preserve">Подробно требования к сроку и объему предоставления гарантий указаны в проекте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Договора подряда (в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том числе в разделе № 8 и № 7) </w:t>
            </w:r>
            <w:r>
              <w:rPr>
                <w:szCs w:val="24"/>
                <w:lang w:val="ru-RU" w:bidi="ar-SA"/>
              </w:rPr>
              <w:t xml:space="preserve">(Приложение №2 к Документации о закупке).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0"/>
              <w:jc w:val="both"/>
              <w:spacing w:before="20" w:line="240" w:lineRule="auto"/>
              <w:rPr>
                <w:rFonts w:ascii="Times New Roman" w:hAnsi="Times New Roman" w:cs="Times New Roman"/>
                <w:b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 w:val="0"/>
                <w:i w:val="0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60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/>
        <w:trPr>
          <w:trHeight w:val="1454"/>
        </w:trPr>
        <w:tc>
          <w:tcPr>
            <w:tcW w:w="963" w:type="dxa"/>
            <w:vAlign w:val="center"/>
            <w:textDirection w:val="lrTb"/>
            <w:noWrap w:val="false"/>
          </w:tcPr>
          <w:p>
            <w:pPr>
              <w:contextualSpacing/>
              <w:ind w:left="283" w:right="0" w:firstLine="0"/>
              <w:spacing w:before="60" w:after="60"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5</w:t>
            </w:r>
            <w:r>
              <w:rPr>
                <w:rFonts w:eastAsia="Calibri"/>
                <w:b/>
                <w:sz w:val="24"/>
                <w:szCs w:val="24"/>
              </w:rPr>
              <w:t xml:space="preserve">.</w:t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textDirection w:val="lrTb"/>
            <w:noWrap w:val="false"/>
          </w:tcPr>
          <w:p>
            <w:pPr>
              <w:ind w:firstLine="0"/>
              <w:jc w:val="both"/>
              <w:spacing w:line="240" w:lineRule="auto"/>
              <w:tabs>
                <w:tab w:val="left" w:pos="1134" w:leader="none"/>
              </w:tabs>
              <w:rPr>
                <w:rFonts w:eastAsia="Tahoma" w:cs="Lohit Devanagari"/>
                <w:b/>
                <w:bCs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eastAsia="Tahoma" w:cs="Lohit Devanagari"/>
                <w:b/>
                <w:i w:val="0"/>
                <w:iCs w:val="0"/>
                <w:sz w:val="24"/>
                <w:szCs w:val="24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rFonts w:eastAsia="Tahoma" w:cs="Lohit Devanagari"/>
                <w:b/>
                <w:bCs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eastAsia="Tahoma" w:cs="Lohit Devanagari"/>
                <w:b/>
                <w:bCs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spacing w:line="240" w:lineRule="auto"/>
              <w:tabs>
                <w:tab w:val="left" w:pos="1134" w:leader="none"/>
              </w:tabs>
              <w:rPr>
                <w:rFonts w:eastAsia="Tahoma" w:cs="Lohit Devanagari"/>
                <w:b/>
                <w:sz w:val="24"/>
                <w:szCs w:val="24"/>
              </w:rPr>
            </w:pPr>
            <w:r>
              <w:rPr>
                <w:rFonts w:eastAsia="Tahoma" w:cs="Lohit Devanagari"/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Требования к субподрядным организациям, привлекаемым</w:t>
            </w:r>
            <w:r>
              <w:rPr>
                <w:i w:val="0"/>
                <w:iCs w:val="0"/>
                <w:sz w:val="24"/>
                <w:szCs w:val="24"/>
              </w:rPr>
              <w:t xml:space="preserve"> к выполнению работ </w:t>
            </w:r>
            <w:r>
              <w:rPr>
                <w:i w:val="0"/>
                <w:iCs w:val="0"/>
                <w:sz w:val="24"/>
                <w:szCs w:val="24"/>
              </w:rPr>
              <w:t xml:space="preserve">подробно указаны в проекте </w:t>
            </w:r>
            <w:r>
              <w:rPr>
                <w:rFonts w:eastAsia="Tahoma" w:cs="Lohit Devanagari"/>
                <w:i w:val="0"/>
                <w:iCs w:val="0"/>
                <w:sz w:val="24"/>
                <w:szCs w:val="24"/>
              </w:rPr>
              <w:t xml:space="preserve"> договора подряда (</w:t>
            </w:r>
            <w:r>
              <w:rPr>
                <w:i w:val="0"/>
                <w:iCs w:val="0"/>
                <w:sz w:val="24"/>
                <w:szCs w:val="24"/>
              </w:rPr>
              <w:t xml:space="preserve">в том числе в раз</w:t>
            </w:r>
            <w:r>
              <w:rPr>
                <w:i w:val="0"/>
                <w:iCs w:val="0"/>
                <w:sz w:val="24"/>
                <w:szCs w:val="24"/>
              </w:rPr>
              <w:t xml:space="preserve">деле № 2</w:t>
            </w:r>
            <w:r>
              <w:rPr>
                <w:rFonts w:eastAsia="Tahoma" w:cs="Lohit Devanagari"/>
                <w:i w:val="0"/>
                <w:iCs w:val="0"/>
                <w:sz w:val="24"/>
                <w:szCs w:val="24"/>
              </w:rPr>
              <w:t xml:space="preserve">) </w:t>
            </w:r>
            <w:r>
              <w:rPr>
                <w:rFonts w:eastAsia="Tahoma" w:cs="Lohit Devanagari"/>
                <w:i w:val="0"/>
                <w:iCs w:val="0"/>
                <w:sz w:val="24"/>
                <w:szCs w:val="24"/>
                <w:lang w:eastAsia="en-US"/>
              </w:rPr>
              <w:t xml:space="preserve">(Приложение № 2 к Документации о закупке).</w:t>
            </w:r>
            <w:r>
              <w:rPr>
                <w:rFonts w:eastAsia="Tahoma" w:cs="Lohit Devanagari"/>
                <w:b/>
                <w:sz w:val="24"/>
                <w:szCs w:val="24"/>
              </w:rPr>
            </w:r>
            <w:r>
              <w:rPr>
                <w:rFonts w:eastAsia="Tahoma" w:cs="Lohit Devanagari"/>
                <w:b/>
                <w:sz w:val="24"/>
                <w:szCs w:val="24"/>
              </w:rPr>
            </w:r>
          </w:p>
          <w:p>
            <w:pPr>
              <w:ind w:firstLine="0"/>
              <w:jc w:val="both"/>
              <w:spacing w:line="276" w:lineRule="auto"/>
              <w:tabs>
                <w:tab w:val="left" w:pos="1134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rFonts w:eastAsia="Tahoma" w:cs="Lohit Devanagari"/>
                <w:b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  <w:highlight w:val="green"/>
              </w:rPr>
            </w:r>
            <w:r>
              <w:rPr>
                <w:bCs/>
                <w:sz w:val="24"/>
                <w:szCs w:val="24"/>
                <w:highlight w:val="green"/>
              </w:rPr>
            </w:r>
            <w:r>
              <w:rPr>
                <w:bCs/>
                <w:sz w:val="24"/>
                <w:szCs w:val="24"/>
                <w:highlight w:val="green"/>
              </w:rPr>
            </w:r>
          </w:p>
        </w:tc>
        <w:tc>
          <w:tcPr>
            <w:tcW w:w="2160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0"/>
        </w:trPr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283" w:right="0" w:firstLine="0"/>
              <w:spacing w:before="60" w:after="60"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6.</w:t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 w:line="240" w:lineRule="auto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  <w:t xml:space="preserve">Требования к победителю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  <w:highlight w:val="green"/>
              </w:rPr>
            </w:r>
            <w:r>
              <w:rPr>
                <w:bCs/>
                <w:sz w:val="24"/>
                <w:szCs w:val="24"/>
                <w:highlight w:val="green"/>
              </w:rPr>
            </w:r>
            <w:r>
              <w:rPr>
                <w:bCs/>
                <w:sz w:val="24"/>
                <w:szCs w:val="24"/>
                <w:highlight w:val="green"/>
              </w:rPr>
            </w:r>
          </w:p>
        </w:tc>
        <w:tc>
          <w:tcPr>
            <w:tcW w:w="216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49"/>
        </w:trPr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283" w:right="0" w:firstLine="0"/>
              <w:spacing w:before="60" w:after="60"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  <w:tc>
          <w:tcPr>
            <w:gridSpan w:val="4"/>
            <w:tcW w:w="14066" w:type="dxa"/>
            <w:vMerge w:val="restart"/>
            <w:textDirection w:val="lrTb"/>
            <w:noWrap w:val="false"/>
          </w:tcPr>
          <w:p>
            <w:pPr>
              <w:ind w:firstLine="720"/>
              <w:jc w:val="both"/>
              <w:spacing w:line="240" w:lineRule="auto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iCs w:val="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ahoma" w:cs="Lohit Devanagari"/>
                <w:b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Участник, признанны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победителе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закупочной процедуры,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в течение 5 (пяти)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рабочих дне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после размещения протокола подведения  итогов закупки на сайте www.zakupki.gov.ru (до заключения договора), должен предоставить в адрес Заказчика на электронный адрес  (dolzhenko-ms@dgk.ru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дополнительные документы.</w:t>
            </w:r>
            <w:r>
              <w:rPr>
                <w:rFonts w:ascii="Times New Roman" w:hAnsi="Times New Roman" w:eastAsia="Times New Roman" w:cs="Times New Roman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Cs w:val="0"/>
                <w:sz w:val="24"/>
                <w:szCs w:val="24"/>
                <w:highlight w:val="white"/>
              </w:rPr>
            </w:r>
          </w:p>
          <w:p>
            <w:pPr>
              <w:ind w:firstLine="720"/>
              <w:jc w:val="both"/>
              <w:spacing w:line="240" w:lineRule="auto"/>
              <w:tabs>
                <w:tab w:val="left" w:pos="1134" w:leader="none"/>
              </w:tabs>
              <w:rPr>
                <w:rFonts w:eastAsia="Tahoma" w:cs="Lohit Devanagari"/>
                <w:b/>
                <w:bCs w:val="0"/>
                <w:i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 условиями Документации о закупке, Победитель признается укло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нившимся от заключения Договора и утрачивает статус Победителя, а  Закупочная комиссия имеет право выбрать в качестве Победителя иного Участника, занявшего следующее место в ранжировке заявок  после Победителя, из числа остальных допущенных заявок.</w:t>
            </w:r>
            <w:r>
              <w:rPr>
                <w:rFonts w:eastAsia="Tahoma" w:cs="Lohit Devanagari"/>
                <w:b/>
                <w:bCs w:val="0"/>
                <w:i w:val="0"/>
                <w:sz w:val="24"/>
                <w:szCs w:val="24"/>
              </w:rPr>
            </w:r>
            <w:r>
              <w:rPr>
                <w:rFonts w:eastAsia="Tahoma" w:cs="Lohit Devanagari"/>
                <w:b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>
          <w:trHeight w:val="225"/>
        </w:trPr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283" w:right="0" w:firstLine="0"/>
              <w:spacing w:before="60" w:after="60"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 w:val="0"/>
                <w:bCs w:val="0"/>
                <w:sz w:val="24"/>
                <w:szCs w:val="24"/>
              </w:rPr>
              <w:t xml:space="preserve">6.1</w:t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vMerge w:val="restart"/>
            <w:textDirection w:val="lrTb"/>
            <w:noWrap w:val="false"/>
          </w:tcPr>
          <w:p>
            <w:pPr>
              <w:ind w:firstLine="0"/>
              <w:jc w:val="both"/>
              <w:spacing w:line="240" w:lineRule="auto"/>
              <w:tabs>
                <w:tab w:val="left" w:pos="1134" w:leader="none"/>
              </w:tabs>
              <w:rPr>
                <w:rFonts w:eastAsia="Tahoma" w:cs="Lohit Devanaga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eastAsia="Tahoma" w:cs="Lohit Devanagari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  <w:t xml:space="preserve">Требования к кадровым ресурсам победителя:</w:t>
            </w:r>
            <w:r>
              <w:rPr>
                <w:rFonts w:eastAsia="Tahoma" w:cs="Lohit Devanagari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eastAsia="Tahoma" w:cs="Lohit Devanagari"/>
                <w:b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2"/>
            <w:tcW w:w="4711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Подтверждается: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471"/>
        </w:trPr>
        <w:tc>
          <w:tcPr>
            <w:tcW w:w="96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283" w:right="0" w:firstLine="0"/>
              <w:spacing w:before="60" w:after="60"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  <w:tc>
          <w:tcPr>
            <w:gridSpan w:val="2"/>
            <w:tcW w:w="9355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/>
              <w:shd w:val="clear" w:color="ffffff" w:fill="ffffff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Согласно требования п.92 Постановления правительства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Российской Федерации от 24.12.2021 г.No2464 «О порядке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обучения по охране труда и проверки знаний требований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охраны труда»: иметь в наличие не менее 3 человек (руководитель,  производитель работ и всех членов бригады) документы  проверки знаний требований охраны труда.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before="0" w:after="0"/>
              <w:shd w:val="clear" w:color="ffffff" w:fill="ffffff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before="0" w:after="0"/>
              <w:shd w:val="clear" w:color="ffffff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after="0"/>
              <w:shd w:val="clear" w:color="ffffff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2) Согласно Приказа Ростехнадзора №519 от 11.12.2020 об  утверждении федеральных норм и правил в области  промышленной безопасности «Требования к производству сварочных работ на опасных производственных объектах»: иметь минимальное количество квалифициро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ванного персонала: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720"/>
              <w:jc w:val="both"/>
              <w:spacing w:before="0" w:after="0"/>
              <w:shd w:val="clear" w:color="ffffff" w:fill="ffffff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Специалисты сварочного производства (не ниже 5 разряда),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(группа опасных объектов: котельное оборудование КО-2;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строительные конструкции СК-1, СК-2, СК-3) – не менее 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сварщиков;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720"/>
              <w:jc w:val="both"/>
              <w:spacing w:before="0" w:after="0"/>
              <w:shd w:val="clear" w:color="ffffff" w:fill="ffffff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ИТР (технолог-сварщик), (группа опасных объектов: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котельное оборудование КО-2; строительные конструкции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СК-1, СК-2, СК-3) - не менее 1 (одного).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4711" w:type="dxa"/>
            <w:vMerge w:val="restart"/>
            <w:textDirection w:val="lrTb"/>
            <w:noWrap w:val="false"/>
          </w:tcPr>
          <w:p>
            <w:pPr>
              <w:pStyle w:val="990"/>
              <w:numPr>
                <w:ilvl w:val="0"/>
                <w:numId w:val="62"/>
              </w:numPr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Копии документов проверки знаний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обученных   лиц,   не   менее   чем   на   3   человек,(руководитель,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производитель   работ   и   всех   членов   бригады),   которые   будут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непосредственно на объектах выполнять работы по Наряду-допуску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ind w:left="0" w:right="0" w:firstLine="0"/>
              <w:jc w:val="both"/>
              <w:spacing w:before="0" w:after="0" w:line="57" w:lineRule="atLeast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0" w:right="0" w:firstLine="0"/>
              <w:jc w:val="both"/>
              <w:spacing w:before="0" w:after="0" w:line="57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2.1 Аттестационное удостоверение специалиста сварочного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производства.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after="0" w:line="57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ind w:left="0" w:right="0" w:firstLine="0"/>
              <w:jc w:val="both"/>
              <w:spacing w:before="0" w:after="0" w:line="57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2.2 Аттестационные  удостоверения сварщиков.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</w:rPr>
            </w:r>
            <w:r/>
          </w:p>
          <w:p>
            <w:pPr>
              <w:ind w:firstLine="0"/>
              <w:jc w:val="center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76" w:lineRule="auto"/>
        <w:tabs>
          <w:tab w:val="center" w:pos="728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426" w:right="1134" w:bottom="850" w:left="1134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3"/>
        <w:rPr>
          <w:sz w:val="24"/>
          <w:szCs w:val="24"/>
        </w:rPr>
      </w:pPr>
      <w:r>
        <w:rPr>
          <w:sz w:val="24"/>
          <w:szCs w:val="24"/>
        </w:rPr>
      </w:r>
      <w:bookmarkStart w:id="33" w:name="_Toc157784556"/>
      <w:r>
        <w:rPr>
          <w:sz w:val="24"/>
          <w:szCs w:val="24"/>
        </w:rPr>
        <w:t xml:space="preserve">3. Требования к документации по ценообразованию на этапе закупки</w:t>
      </w:r>
      <w:bookmarkEnd w:id="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0"/>
        <w:ind w:left="567"/>
        <w:jc w:val="both"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1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3.1. В обоснование стоимости своей заявки Участник предоставляет Коммерческое предложение по форме (</w:t>
      </w:r>
      <w:r>
        <w:rPr>
          <w:b w:val="0"/>
          <w:sz w:val="24"/>
          <w:szCs w:val="24"/>
        </w:rPr>
        <w:t xml:space="preserve">с учетом прилагаемой к ней инструкции по заполнению), приведенной в Документации о закупке (с указанием понижающего коэффициента участником в расчете цены заявки, размер данного коэффициента рекомендуется учитывать с округлением до 7 знаков после запятой).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1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3.2. Дополнительные документы по ценообразованию (сметная документация) в состав заявки Участника не включаются.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jc w:val="both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3"/>
        <w:rPr>
          <w:sz w:val="24"/>
          <w:szCs w:val="24"/>
        </w:rPr>
      </w:pPr>
      <w:r>
        <w:rPr>
          <w:sz w:val="24"/>
          <w:szCs w:val="24"/>
        </w:rPr>
      </w:r>
      <w:bookmarkStart w:id="34" w:name="_Toc157419946"/>
      <w:r>
        <w:rPr>
          <w:sz w:val="24"/>
          <w:szCs w:val="24"/>
        </w:rPr>
      </w:r>
      <w:bookmarkStart w:id="35" w:name="_Toc157420432"/>
      <w:r>
        <w:rPr>
          <w:sz w:val="24"/>
          <w:szCs w:val="24"/>
        </w:rPr>
      </w:r>
      <w:bookmarkStart w:id="36" w:name="_Toc157420897"/>
      <w:r>
        <w:rPr>
          <w:sz w:val="24"/>
          <w:szCs w:val="24"/>
        </w:rPr>
      </w:r>
      <w:bookmarkStart w:id="37" w:name="_Toc157784557"/>
      <w:r>
        <w:rPr>
          <w:rStyle w:val="992"/>
          <w:b/>
          <w:sz w:val="24"/>
          <w:szCs w:val="24"/>
        </w:rPr>
        <w:t xml:space="preserve">4. Требования к документации по ценообразованию на этапе заключения</w:t>
      </w:r>
      <w:r>
        <w:rPr>
          <w:sz w:val="24"/>
          <w:szCs w:val="24"/>
        </w:rPr>
        <w:t xml:space="preserve"> (исполнения) договора</w:t>
      </w:r>
      <w:bookmarkEnd w:id="34"/>
      <w:r>
        <w:rPr>
          <w:sz w:val="24"/>
          <w:szCs w:val="24"/>
        </w:rPr>
      </w:r>
      <w:bookmarkEnd w:id="35"/>
      <w:r>
        <w:rPr>
          <w:sz w:val="24"/>
          <w:szCs w:val="24"/>
        </w:rPr>
      </w:r>
      <w:bookmarkEnd w:id="36"/>
      <w:r>
        <w:rPr>
          <w:sz w:val="24"/>
          <w:szCs w:val="24"/>
        </w:rPr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14"/>
        <w:rPr>
          <w:sz w:val="24"/>
          <w:szCs w:val="24"/>
        </w:rPr>
      </w:pPr>
      <w:r>
        <w:rPr>
          <w:sz w:val="24"/>
          <w:szCs w:val="24"/>
        </w:rPr>
      </w:r>
      <w:bookmarkStart w:id="38" w:name="_Toc157784558"/>
      <w:r>
        <w:rPr>
          <w:sz w:val="24"/>
          <w:szCs w:val="24"/>
        </w:rPr>
        <w:t xml:space="preserve">4.1. Требования к составлению сметной документации (при заключении договора)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360"/>
        <w:jc w:val="both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4.1.1. Сметная документация разработана заказчиком в рамках определения начальной (максимальной) цены договора в соответствии с требован</w:t>
      </w:r>
      <w:r>
        <w:rPr>
          <w:sz w:val="24"/>
          <w:szCs w:val="24"/>
        </w:rPr>
        <w:t xml:space="preserve">иями, указанными в Приложении</w:t>
      </w:r>
      <w:r>
        <w:rPr>
          <w:sz w:val="24"/>
          <w:szCs w:val="24"/>
        </w:rPr>
        <w:t xml:space="preserve"> № 1 к настоящим ТТ, и включается в состав договор</w:t>
      </w:r>
      <w:r>
        <w:rPr>
          <w:sz w:val="24"/>
          <w:szCs w:val="24"/>
        </w:rPr>
        <w:t xml:space="preserve">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локальной смете единым индексом в итогах (после начисления лимитированных затрат до начисления НДС).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360"/>
        <w:jc w:val="both"/>
        <w:spacing w:after="160" w:line="259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4.1.2. Внесение изменений в сметную документацию Заказчика (Приложение № 5 к настоящим ТТ), кроме применения понижающего коэффициента в соответствии с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4.1.1, не до</w:t>
      </w:r>
      <w:r>
        <w:rPr>
          <w:sz w:val="24"/>
          <w:szCs w:val="24"/>
          <w:highlight w:val="white"/>
        </w:rPr>
        <w:t xml:space="preserve">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contextualSpacing/>
        <w:ind w:left="360"/>
        <w:jc w:val="both"/>
        <w:spacing w:after="160" w:line="259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13"/>
        <w:jc w:val="center"/>
        <w:rPr>
          <w:sz w:val="24"/>
          <w:szCs w:val="24"/>
        </w:rPr>
      </w:pPr>
      <w:r>
        <w:rPr>
          <w:sz w:val="24"/>
          <w:szCs w:val="24"/>
        </w:rPr>
      </w:r>
      <w:bookmarkStart w:id="39" w:name="_Toc54646413"/>
      <w:r>
        <w:rPr>
          <w:sz w:val="24"/>
          <w:szCs w:val="24"/>
        </w:rPr>
      </w:r>
      <w:bookmarkStart w:id="40" w:name="_Toc157784559"/>
      <w:r>
        <w:rPr>
          <w:sz w:val="24"/>
          <w:szCs w:val="24"/>
        </w:rPr>
        <w:t xml:space="preserve">5. Приложения</w:t>
      </w:r>
      <w:bookmarkEnd w:id="39"/>
      <w:r>
        <w:rPr>
          <w:sz w:val="24"/>
          <w:szCs w:val="24"/>
        </w:rPr>
      </w:r>
      <w:bookmarkEnd w:id="4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425" w:right="0" w:firstLine="0"/>
        <w:jc w:val="both"/>
        <w:spacing w:after="12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Приложение № 1: Требования к оформлению и составлению документации по ценообразованию;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left="425" w:right="0" w:firstLine="0"/>
        <w:jc w:val="both"/>
        <w:spacing w:after="12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Приложение № 2: Ведомости объемов работ;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left="425" w:right="0" w:firstLine="0"/>
        <w:jc w:val="both"/>
        <w:spacing w:after="12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Приложение № 3: Ведомость материалов, приобретаемых Подрядчиком;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left="425" w:right="0" w:firstLine="0"/>
        <w:jc w:val="both"/>
        <w:spacing w:after="12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Приложение № 4: </w:t>
      </w:r>
      <w:r>
        <w:rPr>
          <w:b w:val="0"/>
          <w:bCs w:val="0"/>
          <w:sz w:val="24"/>
          <w:szCs w:val="24"/>
        </w:rPr>
        <w:t xml:space="preserve">Ведомость материалов, предоставляемых Заказчиком</w:t>
      </w:r>
      <w:r>
        <w:rPr>
          <w:b w:val="0"/>
          <w:bCs w:val="0"/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left="425" w:right="0" w:firstLine="0"/>
        <w:jc w:val="both"/>
        <w:spacing w:after="16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  <w:t xml:space="preserve">Приложение № 5: </w:t>
      </w:r>
      <w:r>
        <w:rPr>
          <w:b w:val="0"/>
          <w:bCs w:val="0"/>
          <w:sz w:val="24"/>
          <w:szCs w:val="24"/>
        </w:rPr>
        <w:t xml:space="preserve">Локальн</w:t>
      </w:r>
      <w:r>
        <w:rPr>
          <w:b w:val="0"/>
          <w:bCs w:val="0"/>
          <w:sz w:val="24"/>
          <w:szCs w:val="24"/>
        </w:rPr>
        <w:t xml:space="preserve">ый сметный расчёт</w:t>
      </w:r>
      <w:r>
        <w:rPr>
          <w:b w:val="0"/>
          <w:bCs w:val="0"/>
          <w:sz w:val="24"/>
          <w:szCs w:val="24"/>
        </w:rPr>
        <w:t xml:space="preserve">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left="425" w:right="0" w:firstLine="0"/>
        <w:jc w:val="both"/>
        <w:spacing w:after="16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Приложение № 6: </w:t>
      </w:r>
      <w:r>
        <w:rPr>
          <w:b w:val="0"/>
          <w:bCs w:val="0"/>
          <w:sz w:val="24"/>
          <w:szCs w:val="24"/>
        </w:rPr>
        <w:t xml:space="preserve">«Положение о допуске персонала подрядных организаций к выполнению работ на объектах АО «ДГК»;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left="425" w:right="0" w:firstLine="0"/>
        <w:jc w:val="both"/>
        <w:spacing w:after="16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Приложение № 7: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«</w:t>
      </w:r>
      <w:r>
        <w:rPr>
          <w:b w:val="0"/>
          <w:bCs w:val="0"/>
          <w:sz w:val="24"/>
          <w:szCs w:val="24"/>
        </w:rPr>
        <w:t xml:space="preserve">Положение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утвержденное приказом № 555 от 29.11.2019 г. АО «ДГК</w:t>
      </w:r>
      <w:r>
        <w:rPr>
          <w:b w:val="0"/>
          <w:bCs w:val="0"/>
          <w:sz w:val="24"/>
          <w:szCs w:val="24"/>
        </w:rPr>
        <w:t xml:space="preserve">»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vstratenko_av" w:date="2026-01-21T11:05:49Z" w:initials="e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Зачем это сокращение, если по тексту отсутствует это упоминание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645BB1C" w16cex:dateUtc="2026-01-21T01:05:4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645BB1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Tahoma">
    <w:panose1 w:val="020B0604030504040204"/>
  </w:font>
  <w:font w:name="Wingdings">
    <w:panose1 w:val="05010000000000000000"/>
  </w:font>
  <w:font w:name="Lohit Devanagari">
    <w:panose1 w:val="02000603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65676720"/>
      <w:docPartObj>
        <w:docPartGallery w:val="Page Numbers (Bottom of Page)"/>
        <w:docPartUnique w:val="true"/>
      </w:docPartObj>
      <w:rPr/>
    </w:sdtPr>
    <w:sdtContent>
      <w:p>
        <w:pPr>
          <w:pStyle w:val="100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100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67" w:hanging="207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614" w:hanging="84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21" w:hanging="84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48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705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207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614" w:hanging="84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21" w:hanging="84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24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/>
        <w:bCs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4"/>
  </w:num>
  <w:num w:numId="2">
    <w:abstractNumId w:val="7"/>
  </w:num>
  <w:num w:numId="3">
    <w:abstractNumId w:val="18"/>
  </w:num>
  <w:num w:numId="4">
    <w:abstractNumId w:val="15"/>
  </w:num>
  <w:num w:numId="5">
    <w:abstractNumId w:val="3"/>
  </w:num>
  <w:num w:numId="6">
    <w:abstractNumId w:val="13"/>
  </w:num>
  <w:num w:numId="7">
    <w:abstractNumId w:val="4"/>
  </w:num>
  <w:num w:numId="8">
    <w:abstractNumId w:val="11"/>
  </w:num>
  <w:num w:numId="9">
    <w:abstractNumId w:val="6"/>
  </w:num>
  <w:num w:numId="10">
    <w:abstractNumId w:val="20"/>
  </w:num>
  <w:num w:numId="11">
    <w:abstractNumId w:val="22"/>
  </w:num>
  <w:num w:numId="12">
    <w:abstractNumId w:val="19"/>
  </w:num>
  <w:num w:numId="13">
    <w:abstractNumId w:val="16"/>
  </w:num>
  <w:num w:numId="14">
    <w:abstractNumId w:val="24"/>
  </w:num>
  <w:num w:numId="15">
    <w:abstractNumId w:val="1"/>
  </w:num>
  <w:num w:numId="16">
    <w:abstractNumId w:val="28"/>
  </w:num>
  <w:num w:numId="17">
    <w:abstractNumId w:val="5"/>
  </w:num>
  <w:num w:numId="18">
    <w:abstractNumId w:val="25"/>
  </w:num>
  <w:num w:numId="19">
    <w:abstractNumId w:val="17"/>
  </w:num>
  <w:num w:numId="20">
    <w:abstractNumId w:val="27"/>
  </w:num>
  <w:num w:numId="21">
    <w:abstractNumId w:val="8"/>
  </w:num>
  <w:num w:numId="22">
    <w:abstractNumId w:val="10"/>
  </w:num>
  <w:num w:numId="23">
    <w:abstractNumId w:val="23"/>
  </w:num>
  <w:num w:numId="24">
    <w:abstractNumId w:val="2"/>
  </w:num>
  <w:num w:numId="25">
    <w:abstractNumId w:val="0"/>
  </w:num>
  <w:num w:numId="26">
    <w:abstractNumId w:val="9"/>
  </w:num>
  <w:num w:numId="27">
    <w:abstractNumId w:val="26"/>
  </w:num>
  <w:num w:numId="28">
    <w:abstractNumId w:val="21"/>
  </w:num>
  <w:num w:numId="29">
    <w:abstractNumId w:val="12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vstratenko_av">
    <w15:presenceInfo w15:providerId="Teamlab" w15:userId="evstratenko_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12" w:default="1">
    <w:name w:val="Normal"/>
    <w:qFormat/>
    <w:pPr>
      <w:ind w:firstLine="652"/>
      <w:spacing w:after="0" w:line="276" w:lineRule="auto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813">
    <w:name w:val="Heading 1"/>
    <w:basedOn w:val="815"/>
    <w:next w:val="812"/>
    <w:link w:val="992"/>
    <w:qFormat/>
    <w:pPr>
      <w:ind w:firstLine="0"/>
      <w:outlineLvl w:val="0"/>
    </w:pPr>
    <w:rPr>
      <w:b/>
      <w:sz w:val="28"/>
      <w:szCs w:val="28"/>
    </w:rPr>
  </w:style>
  <w:style w:type="paragraph" w:styleId="814">
    <w:name w:val="Heading 2"/>
    <w:basedOn w:val="812"/>
    <w:next w:val="812"/>
    <w:link w:val="1016"/>
    <w:uiPriority w:val="9"/>
    <w:unhideWhenUsed/>
    <w:qFormat/>
    <w:pPr>
      <w:keepLines/>
      <w:keepNext/>
      <w:spacing w:before="40"/>
      <w:outlineLvl w:val="1"/>
    </w:pPr>
    <w:rPr>
      <w:rFonts w:eastAsiaTheme="majorEastAsia" w:cstheme="majorBidi"/>
      <w:b/>
      <w:szCs w:val="26"/>
    </w:rPr>
  </w:style>
  <w:style w:type="paragraph" w:styleId="815">
    <w:name w:val="Heading 3"/>
    <w:basedOn w:val="812"/>
    <w:next w:val="812"/>
    <w:link w:val="993"/>
    <w:qFormat/>
    <w:pPr>
      <w:ind w:firstLine="709"/>
      <w:keepNext/>
      <w:spacing w:before="120" w:after="60"/>
      <w:outlineLvl w:val="2"/>
    </w:pPr>
    <w:rPr>
      <w:rFonts w:eastAsia="Calibri"/>
      <w:szCs w:val="24"/>
    </w:rPr>
  </w:style>
  <w:style w:type="paragraph" w:styleId="816">
    <w:name w:val="Heading 4"/>
    <w:basedOn w:val="815"/>
    <w:next w:val="812"/>
    <w:link w:val="994"/>
    <w:qFormat/>
    <w:pPr>
      <w:numPr>
        <w:ilvl w:val="1"/>
      </w:numPr>
      <w:ind w:firstLine="709"/>
      <w:outlineLvl w:val="3"/>
    </w:pPr>
    <w:rPr>
      <w:bCs/>
    </w:rPr>
  </w:style>
  <w:style w:type="paragraph" w:styleId="817">
    <w:name w:val="Heading 5"/>
    <w:basedOn w:val="812"/>
    <w:next w:val="812"/>
    <w:link w:val="8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818">
    <w:name w:val="Heading 6"/>
    <w:basedOn w:val="812"/>
    <w:next w:val="812"/>
    <w:link w:val="8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9">
    <w:name w:val="Heading 7"/>
    <w:basedOn w:val="812"/>
    <w:next w:val="812"/>
    <w:link w:val="8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0">
    <w:name w:val="Heading 8"/>
    <w:basedOn w:val="812"/>
    <w:next w:val="812"/>
    <w:link w:val="8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1">
    <w:name w:val="Heading 9"/>
    <w:basedOn w:val="812"/>
    <w:next w:val="812"/>
    <w:link w:val="8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2" w:default="1">
    <w:name w:val="Default Paragraph Font"/>
    <w:uiPriority w:val="1"/>
    <w:semiHidden/>
    <w:unhideWhenUsed/>
  </w:style>
  <w:style w:type="table" w:styleId="8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4" w:default="1">
    <w:name w:val="No List"/>
    <w:uiPriority w:val="99"/>
    <w:semiHidden/>
    <w:unhideWhenUsed/>
  </w:style>
  <w:style w:type="character" w:styleId="825" w:customStyle="1">
    <w:name w:val="Heading 5 Char"/>
    <w:basedOn w:val="822"/>
    <w:uiPriority w:val="9"/>
    <w:rPr>
      <w:rFonts w:ascii="Arial" w:hAnsi="Arial" w:eastAsia="Arial" w:cs="Arial"/>
      <w:b/>
      <w:bCs/>
      <w:sz w:val="24"/>
      <w:szCs w:val="24"/>
    </w:rPr>
  </w:style>
  <w:style w:type="character" w:styleId="826" w:customStyle="1">
    <w:name w:val="Heading 6 Char"/>
    <w:basedOn w:val="822"/>
    <w:uiPriority w:val="9"/>
    <w:rPr>
      <w:rFonts w:ascii="Arial" w:hAnsi="Arial" w:eastAsia="Arial" w:cs="Arial"/>
      <w:b/>
      <w:bCs/>
      <w:sz w:val="22"/>
      <w:szCs w:val="22"/>
    </w:rPr>
  </w:style>
  <w:style w:type="character" w:styleId="827" w:customStyle="1">
    <w:name w:val="Heading 7 Char"/>
    <w:basedOn w:val="8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8" w:customStyle="1">
    <w:name w:val="Heading 8 Char"/>
    <w:basedOn w:val="822"/>
    <w:uiPriority w:val="9"/>
    <w:rPr>
      <w:rFonts w:ascii="Arial" w:hAnsi="Arial" w:eastAsia="Arial" w:cs="Arial"/>
      <w:i/>
      <w:iCs/>
      <w:sz w:val="22"/>
      <w:szCs w:val="22"/>
    </w:rPr>
  </w:style>
  <w:style w:type="character" w:styleId="829" w:customStyle="1">
    <w:name w:val="Heading 9 Char"/>
    <w:basedOn w:val="822"/>
    <w:uiPriority w:val="9"/>
    <w:rPr>
      <w:rFonts w:ascii="Arial" w:hAnsi="Arial" w:eastAsia="Arial" w:cs="Arial"/>
      <w:i/>
      <w:iCs/>
      <w:sz w:val="21"/>
      <w:szCs w:val="21"/>
    </w:rPr>
  </w:style>
  <w:style w:type="character" w:styleId="830" w:customStyle="1">
    <w:name w:val="Title Char"/>
    <w:basedOn w:val="822"/>
    <w:uiPriority w:val="10"/>
    <w:rPr>
      <w:sz w:val="48"/>
      <w:szCs w:val="48"/>
    </w:rPr>
  </w:style>
  <w:style w:type="character" w:styleId="831" w:customStyle="1">
    <w:name w:val="Subtitle Char"/>
    <w:basedOn w:val="822"/>
    <w:uiPriority w:val="11"/>
    <w:rPr>
      <w:sz w:val="24"/>
      <w:szCs w:val="24"/>
    </w:rPr>
  </w:style>
  <w:style w:type="character" w:styleId="832" w:customStyle="1">
    <w:name w:val="Quote Char"/>
    <w:uiPriority w:val="29"/>
    <w:rPr>
      <w:i/>
    </w:rPr>
  </w:style>
  <w:style w:type="character" w:styleId="833" w:customStyle="1">
    <w:name w:val="Intense Quote Char"/>
    <w:uiPriority w:val="30"/>
    <w:rPr>
      <w:i/>
    </w:rPr>
  </w:style>
  <w:style w:type="character" w:styleId="834" w:customStyle="1">
    <w:name w:val="Footnote Text Char"/>
    <w:uiPriority w:val="99"/>
    <w:rPr>
      <w:sz w:val="18"/>
    </w:rPr>
  </w:style>
  <w:style w:type="character" w:styleId="835" w:customStyle="1">
    <w:name w:val="Endnote Text Char"/>
    <w:uiPriority w:val="99"/>
    <w:rPr>
      <w:sz w:val="20"/>
    </w:rPr>
  </w:style>
  <w:style w:type="character" w:styleId="836" w:customStyle="1">
    <w:name w:val="Heading 1 Char"/>
    <w:basedOn w:val="822"/>
    <w:uiPriority w:val="9"/>
    <w:rPr>
      <w:rFonts w:ascii="Arial" w:hAnsi="Arial" w:eastAsia="Arial" w:cs="Arial"/>
      <w:sz w:val="40"/>
      <w:szCs w:val="40"/>
    </w:rPr>
  </w:style>
  <w:style w:type="character" w:styleId="837" w:customStyle="1">
    <w:name w:val="Heading 2 Char"/>
    <w:basedOn w:val="822"/>
    <w:uiPriority w:val="9"/>
    <w:rPr>
      <w:rFonts w:ascii="Arial" w:hAnsi="Arial" w:eastAsia="Arial" w:cs="Arial"/>
      <w:sz w:val="34"/>
    </w:rPr>
  </w:style>
  <w:style w:type="character" w:styleId="838" w:customStyle="1">
    <w:name w:val="Heading 3 Char"/>
    <w:basedOn w:val="822"/>
    <w:uiPriority w:val="9"/>
    <w:rPr>
      <w:rFonts w:ascii="Arial" w:hAnsi="Arial" w:eastAsia="Arial" w:cs="Arial"/>
      <w:sz w:val="30"/>
      <w:szCs w:val="30"/>
    </w:rPr>
  </w:style>
  <w:style w:type="character" w:styleId="839" w:customStyle="1">
    <w:name w:val="Heading 4 Char"/>
    <w:basedOn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40" w:customStyle="1">
    <w:name w:val="Заголовок 5 Знак"/>
    <w:basedOn w:val="822"/>
    <w:link w:val="817"/>
    <w:uiPriority w:val="9"/>
    <w:rPr>
      <w:rFonts w:ascii="Arial" w:hAnsi="Arial" w:eastAsia="Arial" w:cs="Arial"/>
      <w:b/>
      <w:bCs/>
      <w:sz w:val="24"/>
      <w:szCs w:val="24"/>
    </w:rPr>
  </w:style>
  <w:style w:type="character" w:styleId="841" w:customStyle="1">
    <w:name w:val="Заголовок 6 Знак"/>
    <w:basedOn w:val="822"/>
    <w:link w:val="818"/>
    <w:uiPriority w:val="9"/>
    <w:rPr>
      <w:rFonts w:ascii="Arial" w:hAnsi="Arial" w:eastAsia="Arial" w:cs="Arial"/>
      <w:b/>
      <w:bCs/>
      <w:sz w:val="22"/>
      <w:szCs w:val="22"/>
    </w:rPr>
  </w:style>
  <w:style w:type="character" w:styleId="842" w:customStyle="1">
    <w:name w:val="Заголовок 7 Знак"/>
    <w:basedOn w:val="822"/>
    <w:link w:val="8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3" w:customStyle="1">
    <w:name w:val="Заголовок 8 Знак"/>
    <w:basedOn w:val="822"/>
    <w:link w:val="820"/>
    <w:uiPriority w:val="9"/>
    <w:rPr>
      <w:rFonts w:ascii="Arial" w:hAnsi="Arial" w:eastAsia="Arial" w:cs="Arial"/>
      <w:i/>
      <w:iCs/>
      <w:sz w:val="22"/>
      <w:szCs w:val="22"/>
    </w:rPr>
  </w:style>
  <w:style w:type="character" w:styleId="844" w:customStyle="1">
    <w:name w:val="Заголовок 9 Знак"/>
    <w:basedOn w:val="822"/>
    <w:link w:val="821"/>
    <w:uiPriority w:val="9"/>
    <w:rPr>
      <w:rFonts w:ascii="Arial" w:hAnsi="Arial" w:eastAsia="Arial" w:cs="Arial"/>
      <w:i/>
      <w:iCs/>
      <w:sz w:val="21"/>
      <w:szCs w:val="21"/>
    </w:rPr>
  </w:style>
  <w:style w:type="paragraph" w:styleId="845">
    <w:name w:val="No Spacing"/>
    <w:uiPriority w:val="1"/>
    <w:qFormat/>
    <w:pPr>
      <w:spacing w:after="0" w:line="240" w:lineRule="auto"/>
    </w:pPr>
  </w:style>
  <w:style w:type="paragraph" w:styleId="846">
    <w:name w:val="Title"/>
    <w:basedOn w:val="812"/>
    <w:next w:val="812"/>
    <w:link w:val="84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7" w:customStyle="1">
    <w:name w:val="Название Знак"/>
    <w:basedOn w:val="822"/>
    <w:link w:val="846"/>
    <w:uiPriority w:val="10"/>
    <w:rPr>
      <w:sz w:val="48"/>
      <w:szCs w:val="48"/>
    </w:rPr>
  </w:style>
  <w:style w:type="paragraph" w:styleId="848">
    <w:name w:val="Subtitle"/>
    <w:basedOn w:val="812"/>
    <w:next w:val="812"/>
    <w:link w:val="849"/>
    <w:uiPriority w:val="11"/>
    <w:qFormat/>
    <w:pPr>
      <w:spacing w:before="200" w:after="200"/>
    </w:pPr>
    <w:rPr>
      <w:szCs w:val="24"/>
    </w:rPr>
  </w:style>
  <w:style w:type="character" w:styleId="849" w:customStyle="1">
    <w:name w:val="Подзаголовок Знак"/>
    <w:basedOn w:val="822"/>
    <w:link w:val="848"/>
    <w:uiPriority w:val="11"/>
    <w:rPr>
      <w:sz w:val="24"/>
      <w:szCs w:val="24"/>
    </w:rPr>
  </w:style>
  <w:style w:type="paragraph" w:styleId="850">
    <w:name w:val="Quote"/>
    <w:basedOn w:val="812"/>
    <w:next w:val="812"/>
    <w:link w:val="851"/>
    <w:uiPriority w:val="29"/>
    <w:qFormat/>
    <w:pPr>
      <w:ind w:left="720" w:right="720"/>
    </w:pPr>
    <w:rPr>
      <w:i/>
    </w:rPr>
  </w:style>
  <w:style w:type="character" w:styleId="851" w:customStyle="1">
    <w:name w:val="Цитата 2 Знак"/>
    <w:link w:val="850"/>
    <w:uiPriority w:val="29"/>
    <w:rPr>
      <w:i/>
    </w:rPr>
  </w:style>
  <w:style w:type="paragraph" w:styleId="852">
    <w:name w:val="Intense Quote"/>
    <w:basedOn w:val="812"/>
    <w:next w:val="812"/>
    <w:link w:val="85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3" w:customStyle="1">
    <w:name w:val="Выделенная цитата Знак"/>
    <w:link w:val="852"/>
    <w:uiPriority w:val="30"/>
    <w:rPr>
      <w:i/>
    </w:rPr>
  </w:style>
  <w:style w:type="character" w:styleId="854" w:customStyle="1">
    <w:name w:val="Header Char"/>
    <w:basedOn w:val="822"/>
    <w:uiPriority w:val="99"/>
  </w:style>
  <w:style w:type="character" w:styleId="855" w:customStyle="1">
    <w:name w:val="Footer Char"/>
    <w:basedOn w:val="822"/>
    <w:uiPriority w:val="99"/>
  </w:style>
  <w:style w:type="paragraph" w:styleId="856">
    <w:name w:val="Caption"/>
    <w:basedOn w:val="812"/>
    <w:next w:val="812"/>
    <w:link w:val="85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857" w:customStyle="1">
    <w:name w:val="Caption Char"/>
    <w:uiPriority w:val="99"/>
  </w:style>
  <w:style w:type="table" w:styleId="858" w:customStyle="1">
    <w:name w:val="Table Grid Light"/>
    <w:basedOn w:val="82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9" w:customStyle="1">
    <w:name w:val="Plain Table 1"/>
    <w:basedOn w:val="82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0" w:customStyle="1">
    <w:name w:val="Plain Table 2"/>
    <w:basedOn w:val="8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 w:customStyle="1">
    <w:name w:val="Plain Table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2" w:customStyle="1">
    <w:name w:val="Plain Table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Plain Table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1 Light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Grid Table 1 Light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Grid Table 1 Light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Grid Table 1 Light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Grid Table 1 Light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2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2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2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2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3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3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3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3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4"/>
    <w:basedOn w:val="8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6" w:customStyle="1">
    <w:name w:val="Grid Table 4 - Accent 1"/>
    <w:basedOn w:val="8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87" w:customStyle="1">
    <w:name w:val="Grid Table 4 - Accent 2"/>
    <w:basedOn w:val="8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88" w:customStyle="1">
    <w:name w:val="Grid Table 4 - Accent 3"/>
    <w:basedOn w:val="8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89" w:customStyle="1">
    <w:name w:val="Grid Table 4 - Accent 4"/>
    <w:basedOn w:val="8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90" w:customStyle="1">
    <w:name w:val="Grid Table 4 - Accent 5"/>
    <w:basedOn w:val="8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91" w:customStyle="1">
    <w:name w:val="Grid Table 4 - Accent 6"/>
    <w:basedOn w:val="8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92" w:customStyle="1">
    <w:name w:val="Grid Table 5 Dark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3" w:customStyle="1">
    <w:name w:val="Grid Table 5 Dark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94" w:customStyle="1">
    <w:name w:val="Grid Table 5 Dark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95" w:customStyle="1">
    <w:name w:val="Grid Table 5 Dark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96" w:customStyle="1">
    <w:name w:val="Grid Table 5 Dark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6 Colorful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0" w:customStyle="1">
    <w:name w:val="Grid Table 6 Colorful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01" w:customStyle="1">
    <w:name w:val="Grid Table 6 Colorful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02" w:customStyle="1">
    <w:name w:val="Grid Table 6 Colorful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03" w:customStyle="1">
    <w:name w:val="Grid Table 6 Colorful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04" w:customStyle="1">
    <w:name w:val="Grid Table 6 Colorful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05" w:customStyle="1">
    <w:name w:val="Grid Table 6 Colorful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06" w:customStyle="1">
    <w:name w:val="Grid Table 7 Colorful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7" w:customStyle="1">
    <w:name w:val="Grid Table 7 Colorful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8" w:customStyle="1">
    <w:name w:val="Grid Table 7 Colorful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9" w:customStyle="1">
    <w:name w:val="Grid Table 7 Colorful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0" w:customStyle="1">
    <w:name w:val="Grid Table 7 Colorful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1" w:customStyle="1">
    <w:name w:val="Grid Table 7 Colorful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Grid Table 7 Colorful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List Table 1 Light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1 Light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1 Light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1 Light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1 Light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1" w:customStyle="1">
    <w:name w:val="List Table 2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22" w:customStyle="1">
    <w:name w:val="List Table 2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23" w:customStyle="1">
    <w:name w:val="List Table 2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24" w:customStyle="1">
    <w:name w:val="List Table 2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27" w:customStyle="1">
    <w:name w:val="List Table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3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3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3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3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4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4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4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4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5 Dark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2" w:customStyle="1">
    <w:name w:val="List Table 5 Dark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3" w:customStyle="1">
    <w:name w:val="List Table 5 Dark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4" w:customStyle="1">
    <w:name w:val="List Table 5 Dark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5" w:customStyle="1">
    <w:name w:val="List Table 5 Dark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6 Colorful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9" w:customStyle="1">
    <w:name w:val="List Table 6 Colorful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50" w:customStyle="1">
    <w:name w:val="List Table 6 Colorful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51" w:customStyle="1">
    <w:name w:val="List Table 6 Colorful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52" w:customStyle="1">
    <w:name w:val="List Table 6 Colorful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53" w:customStyle="1">
    <w:name w:val="List Table 6 Colorful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54" w:customStyle="1">
    <w:name w:val="List Table 6 Colorful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55" w:customStyle="1">
    <w:name w:val="List Table 7 Colorful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6" w:customStyle="1">
    <w:name w:val="List Table 7 Colorful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7" w:customStyle="1">
    <w:name w:val="List Table 7 Colorful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8" w:customStyle="1">
    <w:name w:val="List Table 7 Colorful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9" w:customStyle="1">
    <w:name w:val="List Table 7 Colorful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0" w:customStyle="1">
    <w:name w:val="List Table 7 Colorful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1" w:customStyle="1">
    <w:name w:val="List Table 7 Colorful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2" w:customStyle="1">
    <w:name w:val="Lined - Accent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3" w:customStyle="1">
    <w:name w:val="Lined - Accent 1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64" w:customStyle="1">
    <w:name w:val="Lined - Accent 2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5" w:customStyle="1">
    <w:name w:val="Lined - Accent 3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6" w:customStyle="1">
    <w:name w:val="Lined - Accent 4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67" w:customStyle="1">
    <w:name w:val="Lined - Accent 5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8" w:customStyle="1">
    <w:name w:val="Lined - Accent 6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9" w:customStyle="1">
    <w:name w:val="Bordered &amp; Lined - Accent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0" w:customStyle="1">
    <w:name w:val="Bordered &amp; Lined - Accent 1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71" w:customStyle="1">
    <w:name w:val="Bordered &amp; Lined - Accent 2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2" w:customStyle="1">
    <w:name w:val="Bordered &amp; Lined - Accent 3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3" w:customStyle="1">
    <w:name w:val="Bordered &amp; Lined - Accent 4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4" w:customStyle="1">
    <w:name w:val="Bordered &amp; Lined - Accent 5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75" w:customStyle="1">
    <w:name w:val="Bordered &amp; Lined - Accent 6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6" w:customStyle="1">
    <w:name w:val="Bordered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7" w:customStyle="1">
    <w:name w:val="Bordered - Accent 1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78" w:customStyle="1">
    <w:name w:val="Bordered - Accent 2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79" w:customStyle="1">
    <w:name w:val="Bordered - Accent 3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80" w:customStyle="1">
    <w:name w:val="Bordered - Accent 4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81" w:customStyle="1">
    <w:name w:val="Bordered - Accent 5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82" w:customStyle="1">
    <w:name w:val="Bordered - Accent 6"/>
    <w:basedOn w:val="8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83">
    <w:name w:val="footnote text"/>
    <w:basedOn w:val="812"/>
    <w:link w:val="984"/>
    <w:uiPriority w:val="99"/>
    <w:semiHidden/>
    <w:unhideWhenUsed/>
    <w:pPr>
      <w:spacing w:after="40" w:line="240" w:lineRule="auto"/>
    </w:pPr>
    <w:rPr>
      <w:sz w:val="18"/>
    </w:rPr>
  </w:style>
  <w:style w:type="character" w:styleId="984" w:customStyle="1">
    <w:name w:val="Текст сноски Знак"/>
    <w:link w:val="983"/>
    <w:uiPriority w:val="99"/>
    <w:rPr>
      <w:sz w:val="18"/>
    </w:rPr>
  </w:style>
  <w:style w:type="character" w:styleId="985">
    <w:name w:val="footnote reference"/>
    <w:basedOn w:val="822"/>
    <w:uiPriority w:val="99"/>
    <w:unhideWhenUsed/>
    <w:rPr>
      <w:vertAlign w:val="superscript"/>
    </w:rPr>
  </w:style>
  <w:style w:type="paragraph" w:styleId="986">
    <w:name w:val="endnote text"/>
    <w:basedOn w:val="812"/>
    <w:link w:val="987"/>
    <w:uiPriority w:val="99"/>
    <w:semiHidden/>
    <w:unhideWhenUsed/>
    <w:pPr>
      <w:spacing w:line="240" w:lineRule="auto"/>
    </w:pPr>
    <w:rPr>
      <w:sz w:val="20"/>
    </w:rPr>
  </w:style>
  <w:style w:type="character" w:styleId="987" w:customStyle="1">
    <w:name w:val="Текст концевой сноски Знак"/>
    <w:link w:val="986"/>
    <w:uiPriority w:val="99"/>
    <w:rPr>
      <w:sz w:val="20"/>
    </w:rPr>
  </w:style>
  <w:style w:type="character" w:styleId="988">
    <w:name w:val="endnote reference"/>
    <w:basedOn w:val="822"/>
    <w:uiPriority w:val="99"/>
    <w:semiHidden/>
    <w:unhideWhenUsed/>
    <w:rPr>
      <w:vertAlign w:val="superscript"/>
    </w:rPr>
  </w:style>
  <w:style w:type="paragraph" w:styleId="989">
    <w:name w:val="table of figures"/>
    <w:basedOn w:val="812"/>
    <w:next w:val="812"/>
    <w:uiPriority w:val="99"/>
    <w:unhideWhenUsed/>
  </w:style>
  <w:style w:type="paragraph" w:styleId="990">
    <w:name w:val="List Paragraph"/>
    <w:basedOn w:val="812"/>
    <w:link w:val="991"/>
    <w:qFormat/>
    <w:pPr>
      <w:contextualSpacing/>
      <w:ind w:left="720"/>
    </w:pPr>
  </w:style>
  <w:style w:type="character" w:styleId="991" w:customStyle="1">
    <w:name w:val="Абзац списка Знак"/>
    <w:link w:val="990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92" w:customStyle="1">
    <w:name w:val="Заголовок 1 Знак"/>
    <w:basedOn w:val="822"/>
    <w:link w:val="813"/>
    <w:rPr>
      <w:rFonts w:ascii="Times New Roman" w:hAnsi="Times New Roman" w:eastAsia="Calibri" w:cs="Times New Roman"/>
      <w:b/>
      <w:sz w:val="28"/>
      <w:szCs w:val="28"/>
    </w:rPr>
  </w:style>
  <w:style w:type="character" w:styleId="993" w:customStyle="1">
    <w:name w:val="Заголовок 3 Знак"/>
    <w:basedOn w:val="822"/>
    <w:link w:val="815"/>
    <w:rPr>
      <w:rFonts w:ascii="Times New Roman" w:hAnsi="Times New Roman" w:eastAsia="Calibri" w:cs="Times New Roman"/>
      <w:sz w:val="24"/>
      <w:szCs w:val="24"/>
    </w:rPr>
  </w:style>
  <w:style w:type="character" w:styleId="994" w:customStyle="1">
    <w:name w:val="Заголовок 4 Знак"/>
    <w:basedOn w:val="822"/>
    <w:link w:val="816"/>
    <w:rPr>
      <w:rFonts w:ascii="Times New Roman" w:hAnsi="Times New Roman" w:eastAsia="Calibri" w:cs="Times New Roman"/>
      <w:b/>
      <w:bCs/>
      <w:sz w:val="24"/>
      <w:szCs w:val="24"/>
    </w:rPr>
  </w:style>
  <w:style w:type="character" w:styleId="995" w:customStyle="1">
    <w:name w:val="комментарий"/>
    <w:rPr>
      <w:b/>
      <w:i/>
      <w:shd w:val="clear" w:color="auto" w:fill="ffff99"/>
    </w:rPr>
  </w:style>
  <w:style w:type="table" w:styleId="996">
    <w:name w:val="Table Grid"/>
    <w:basedOn w:val="823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97">
    <w:name w:val="toc 1"/>
    <w:basedOn w:val="812"/>
    <w:next w:val="812"/>
    <w:uiPriority w:val="39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998">
    <w:name w:val="toc 3"/>
    <w:basedOn w:val="812"/>
    <w:next w:val="812"/>
    <w:uiPriority w:val="39"/>
    <w:pPr>
      <w:ind w:left="480"/>
    </w:pPr>
    <w:rPr>
      <w:rFonts w:asciiTheme="minorHAnsi" w:hAnsiTheme="minorHAnsi"/>
      <w:sz w:val="20"/>
      <w:szCs w:val="20"/>
    </w:rPr>
  </w:style>
  <w:style w:type="character" w:styleId="999">
    <w:name w:val="Hyperlink"/>
    <w:uiPriority w:val="99"/>
    <w:rPr>
      <w:color w:val="0000ff"/>
      <w:u w:val="single"/>
    </w:rPr>
  </w:style>
  <w:style w:type="paragraph" w:styleId="1000">
    <w:name w:val="toc 4"/>
    <w:basedOn w:val="812"/>
    <w:next w:val="812"/>
    <w:uiPriority w:val="39"/>
    <w:pPr>
      <w:ind w:left="720"/>
    </w:pPr>
    <w:rPr>
      <w:rFonts w:asciiTheme="minorHAnsi" w:hAnsiTheme="minorHAnsi"/>
      <w:sz w:val="20"/>
      <w:szCs w:val="20"/>
    </w:rPr>
  </w:style>
  <w:style w:type="paragraph" w:styleId="1001">
    <w:name w:val="Header"/>
    <w:basedOn w:val="812"/>
    <w:link w:val="100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02" w:customStyle="1">
    <w:name w:val="Верхний колонтитул Знак"/>
    <w:basedOn w:val="822"/>
    <w:link w:val="1001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03">
    <w:name w:val="Footer"/>
    <w:basedOn w:val="812"/>
    <w:link w:val="100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04" w:customStyle="1">
    <w:name w:val="Нижний колонтитул Знак"/>
    <w:basedOn w:val="822"/>
    <w:link w:val="1003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05" w:customStyle="1">
    <w:name w:val="Таблица шапка"/>
    <w:basedOn w:val="812"/>
    <w:pPr>
      <w:ind w:left="57" w:right="57"/>
      <w:keepNext/>
      <w:spacing w:before="40" w:after="40"/>
    </w:pPr>
    <w:rPr>
      <w:sz w:val="22"/>
      <w:szCs w:val="26"/>
    </w:rPr>
  </w:style>
  <w:style w:type="paragraph" w:styleId="1006">
    <w:name w:val="annotation text"/>
    <w:basedOn w:val="812"/>
    <w:link w:val="1007"/>
    <w:rPr>
      <w:sz w:val="20"/>
      <w:szCs w:val="20"/>
    </w:rPr>
  </w:style>
  <w:style w:type="character" w:styleId="1007" w:customStyle="1">
    <w:name w:val="Текст примечания Знак"/>
    <w:basedOn w:val="822"/>
    <w:link w:val="100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8" w:customStyle="1">
    <w:name w:val="Таблица"/>
    <w:basedOn w:val="812"/>
    <w:qFormat/>
    <w:pPr>
      <w:jc w:val="center"/>
      <w:keepNext/>
      <w:spacing w:before="60" w:after="60"/>
    </w:pPr>
    <w:rPr>
      <w:rFonts w:eastAsia="Calibri"/>
      <w:b/>
      <w:szCs w:val="24"/>
    </w:rPr>
  </w:style>
  <w:style w:type="table" w:styleId="1009" w:customStyle="1">
    <w:name w:val="Сетка таблицы1"/>
    <w:basedOn w:val="823"/>
    <w:next w:val="996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10">
    <w:name w:val="annotation reference"/>
    <w:basedOn w:val="822"/>
    <w:uiPriority w:val="99"/>
    <w:semiHidden/>
    <w:unhideWhenUsed/>
    <w:rPr>
      <w:sz w:val="16"/>
      <w:szCs w:val="16"/>
    </w:rPr>
  </w:style>
  <w:style w:type="paragraph" w:styleId="1011">
    <w:name w:val="Balloon Text"/>
    <w:basedOn w:val="812"/>
    <w:link w:val="101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1012" w:customStyle="1">
    <w:name w:val="Текст выноски Знак"/>
    <w:basedOn w:val="822"/>
    <w:link w:val="1011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1013">
    <w:name w:val="annotation subject"/>
    <w:basedOn w:val="1006"/>
    <w:next w:val="1006"/>
    <w:link w:val="1014"/>
    <w:uiPriority w:val="99"/>
    <w:semiHidden/>
    <w:unhideWhenUsed/>
    <w:rPr>
      <w:b/>
      <w:bCs/>
    </w:rPr>
  </w:style>
  <w:style w:type="character" w:styleId="1014" w:customStyle="1">
    <w:name w:val="Тема примечания Знак"/>
    <w:basedOn w:val="1007"/>
    <w:link w:val="101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15">
    <w:name w:val="TOC Heading"/>
    <w:basedOn w:val="813"/>
    <w:next w:val="812"/>
    <w:uiPriority w:val="39"/>
    <w:unhideWhenUsed/>
    <w:qFormat/>
    <w:pPr>
      <w:keepLines/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color w:val="2e74b5" w:themeColor="accent1" w:themeShade="BF"/>
      <w:sz w:val="32"/>
      <w:szCs w:val="32"/>
    </w:rPr>
  </w:style>
  <w:style w:type="character" w:styleId="1016" w:customStyle="1">
    <w:name w:val="Заголовок 2 Знак"/>
    <w:basedOn w:val="822"/>
    <w:link w:val="814"/>
    <w:uiPriority w:val="9"/>
    <w:rPr>
      <w:rFonts w:ascii="Times New Roman" w:hAnsi="Times New Roman" w:eastAsiaTheme="majorEastAsia" w:cstheme="majorBidi"/>
      <w:b/>
      <w:sz w:val="24"/>
      <w:szCs w:val="26"/>
      <w:lang w:eastAsia="ru-RU"/>
    </w:rPr>
  </w:style>
  <w:style w:type="paragraph" w:styleId="1017">
    <w:name w:val="toc 2"/>
    <w:basedOn w:val="812"/>
    <w:next w:val="812"/>
    <w:uiPriority w:val="39"/>
    <w:unhideWhenUsed/>
    <w:pPr>
      <w:ind w:left="240"/>
      <w:spacing w:before="120"/>
    </w:pPr>
    <w:rPr>
      <w:rFonts w:asciiTheme="minorHAnsi" w:hAnsiTheme="minorHAnsi"/>
      <w:i/>
      <w:iCs/>
      <w:sz w:val="20"/>
      <w:szCs w:val="20"/>
    </w:rPr>
  </w:style>
  <w:style w:type="paragraph" w:styleId="1018">
    <w:name w:val="toc 5"/>
    <w:basedOn w:val="812"/>
    <w:next w:val="812"/>
    <w:uiPriority w:val="39"/>
    <w:unhideWhenUsed/>
    <w:pPr>
      <w:ind w:left="960"/>
    </w:pPr>
    <w:rPr>
      <w:rFonts w:asciiTheme="minorHAnsi" w:hAnsiTheme="minorHAnsi"/>
      <w:sz w:val="20"/>
      <w:szCs w:val="20"/>
    </w:rPr>
  </w:style>
  <w:style w:type="paragraph" w:styleId="1019">
    <w:name w:val="toc 6"/>
    <w:basedOn w:val="812"/>
    <w:next w:val="812"/>
    <w:uiPriority w:val="39"/>
    <w:unhideWhenUsed/>
    <w:pPr>
      <w:ind w:left="1200"/>
    </w:pPr>
    <w:rPr>
      <w:rFonts w:asciiTheme="minorHAnsi" w:hAnsiTheme="minorHAnsi"/>
      <w:sz w:val="20"/>
      <w:szCs w:val="20"/>
    </w:rPr>
  </w:style>
  <w:style w:type="paragraph" w:styleId="1020">
    <w:name w:val="toc 7"/>
    <w:basedOn w:val="812"/>
    <w:next w:val="812"/>
    <w:uiPriority w:val="39"/>
    <w:unhideWhenUsed/>
    <w:pPr>
      <w:ind w:left="1440"/>
    </w:pPr>
    <w:rPr>
      <w:rFonts w:asciiTheme="minorHAnsi" w:hAnsiTheme="minorHAnsi"/>
      <w:sz w:val="20"/>
      <w:szCs w:val="20"/>
    </w:rPr>
  </w:style>
  <w:style w:type="paragraph" w:styleId="1021">
    <w:name w:val="toc 8"/>
    <w:basedOn w:val="812"/>
    <w:next w:val="812"/>
    <w:uiPriority w:val="39"/>
    <w:unhideWhenUsed/>
    <w:pPr>
      <w:ind w:left="1680"/>
    </w:pPr>
    <w:rPr>
      <w:rFonts w:asciiTheme="minorHAnsi" w:hAnsiTheme="minorHAnsi"/>
      <w:sz w:val="20"/>
      <w:szCs w:val="20"/>
    </w:rPr>
  </w:style>
  <w:style w:type="paragraph" w:styleId="1022">
    <w:name w:val="toc 9"/>
    <w:basedOn w:val="812"/>
    <w:next w:val="812"/>
    <w:uiPriority w:val="39"/>
    <w:unhideWhenUsed/>
    <w:pPr>
      <w:ind w:left="1920"/>
    </w:pPr>
    <w:rPr>
      <w:rFonts w:asciiTheme="minorHAnsi" w:hAnsiTheme="minorHAnsi"/>
      <w:sz w:val="20"/>
      <w:szCs w:val="20"/>
    </w:rPr>
  </w:style>
  <w:style w:type="table" w:styleId="1023" w:customStyle="1">
    <w:name w:val="Сетка таблицы12"/>
    <w:basedOn w:val="823"/>
    <w:next w:val="996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omments" Target="comments.xml" /><Relationship Id="rId13" Type="http://schemas.microsoft.com/office/2011/relationships/commentsExtended" Target="commentsExtended.xml" /><Relationship Id="rId14" Type="http://schemas.microsoft.com/office/2018/08/relationships/commentsExtensible" Target="commentsExtensible.xml" /><Relationship Id="rId15" Type="http://schemas.microsoft.com/office/2016/09/relationships/commentsIds" Target="commentsIds.xml" /><Relationship Id="rId16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213E5-A027-4DFF-B4E8-1DD09AC3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Анна Викторовна</dc:creator>
  <cp:keywords/>
  <dc:description/>
  <cp:lastModifiedBy>lutfullina_ee</cp:lastModifiedBy>
  <cp:revision>130</cp:revision>
  <dcterms:created xsi:type="dcterms:W3CDTF">2023-01-19T07:51:00Z</dcterms:created>
  <dcterms:modified xsi:type="dcterms:W3CDTF">2026-03-05T00:43:53Z</dcterms:modified>
</cp:coreProperties>
</file>